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72" w:rsidRPr="00C9533F" w:rsidRDefault="000A6FC5" w:rsidP="00907B2D">
      <w:pPr>
        <w:pStyle w:val="Title-1"/>
        <w:rPr>
          <w:rFonts w:eastAsia="宋体" w:hint="eastAsia"/>
          <w:lang w:eastAsia="zh-CN"/>
        </w:rPr>
      </w:pPr>
      <w:r>
        <w:rPr>
          <w:rFonts w:hint="eastAsia"/>
          <w:noProof/>
          <w:lang w:eastAsia="zh-CN" w:bidi="he-IL"/>
        </w:rPr>
        <w:drawing>
          <wp:anchor distT="0" distB="0" distL="114300" distR="114300" simplePos="0" relativeHeight="251657728" behindDoc="0" locked="0" layoutInCell="1" allowOverlap="0">
            <wp:simplePos x="0" y="0"/>
            <wp:positionH relativeFrom="column">
              <wp:posOffset>4838700</wp:posOffset>
            </wp:positionH>
            <wp:positionV relativeFrom="paragraph">
              <wp:posOffset>-729615</wp:posOffset>
            </wp:positionV>
            <wp:extent cx="1370965" cy="685800"/>
            <wp:effectExtent l="19050" t="0" r="635" b="0"/>
            <wp:wrapNone/>
            <wp:docPr id="4834" name="图片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logo"/>
                    <pic:cNvPicPr>
                      <a:picLocks noChangeAspect="1" noChangeArrowheads="1"/>
                    </pic:cNvPicPr>
                  </pic:nvPicPr>
                  <pic:blipFill>
                    <a:blip r:embed="rId8" cstate="print"/>
                    <a:srcRect t="6444" b="8763"/>
                    <a:stretch>
                      <a:fillRect/>
                    </a:stretch>
                  </pic:blipFill>
                  <pic:spPr bwMode="auto">
                    <a:xfrm>
                      <a:off x="0" y="0"/>
                      <a:ext cx="1370965" cy="685800"/>
                    </a:xfrm>
                    <a:prstGeom prst="rect">
                      <a:avLst/>
                    </a:prstGeom>
                    <a:noFill/>
                    <a:ln w="9525">
                      <a:noFill/>
                      <a:miter lim="800000"/>
                      <a:headEnd/>
                      <a:tailEnd/>
                    </a:ln>
                  </pic:spPr>
                </pic:pic>
              </a:graphicData>
            </a:graphic>
          </wp:anchor>
        </w:drawing>
      </w:r>
      <w:r w:rsidR="00284B72" w:rsidRPr="00A34403">
        <w:fldChar w:fldCharType="begin"/>
      </w:r>
      <w:r w:rsidR="00284B72" w:rsidRPr="00A34403">
        <w:instrText xml:space="preserve"> SEQ CHAPTER \h \r 1</w:instrText>
      </w:r>
      <w:r w:rsidR="00284B72" w:rsidRPr="00A34403">
        <w:fldChar w:fldCharType="end"/>
      </w:r>
      <w:r w:rsidR="003D6840" w:rsidRPr="003D6840">
        <w:t>Improvement of Energetic Efficiency of Buildings: Contributions of Passive and Active Solutions</w:t>
      </w:r>
    </w:p>
    <w:p w:rsidR="008C2EAC" w:rsidRPr="00911FF0" w:rsidRDefault="003D6840" w:rsidP="00266C66">
      <w:pPr>
        <w:pStyle w:val="author-1"/>
        <w:rPr>
          <w:rFonts w:eastAsia="宋体" w:hint="eastAsia"/>
          <w:lang w:eastAsia="zh-CN"/>
        </w:rPr>
      </w:pPr>
      <w:r>
        <w:t>Clito Afonso</w:t>
      </w:r>
      <w:r w:rsidRPr="003D6840">
        <w:t xml:space="preserve">, </w:t>
      </w:r>
      <w:r>
        <w:rPr>
          <w:rFonts w:eastAsiaTheme="minorEastAsia" w:hint="eastAsia"/>
          <w:lang w:eastAsia="zh-CN"/>
        </w:rPr>
        <w:t xml:space="preserve">and </w:t>
      </w:r>
      <w:r w:rsidRPr="003D6840">
        <w:t>Ricardo Pereira</w:t>
      </w:r>
    </w:p>
    <w:p w:rsidR="00907B2D" w:rsidRPr="00907B2D" w:rsidRDefault="003D6840" w:rsidP="00454279">
      <w:pPr>
        <w:pStyle w:val="address-1"/>
        <w:rPr>
          <w:lang w:val="fr-FR"/>
        </w:rPr>
      </w:pPr>
      <w:r w:rsidRPr="003D6840">
        <w:t>Universidade do Porto, Faculdade de Engenharia, Depart. Engª Mecânica - Porto, Portugal</w:t>
      </w:r>
    </w:p>
    <w:p w:rsidR="00284B72" w:rsidRPr="001B004C" w:rsidRDefault="00284B72" w:rsidP="00284B72">
      <w:pPr>
        <w:pStyle w:val="-11"/>
        <w:ind w:firstLineChars="0" w:firstLine="0"/>
        <w:rPr>
          <w:rFonts w:hint="eastAsia"/>
          <w:i/>
          <w:sz w:val="18"/>
          <w:lang w:eastAsia="zh-CN"/>
        </w:rPr>
      </w:pPr>
    </w:p>
    <w:p w:rsidR="00284B72" w:rsidRPr="008251FA" w:rsidRDefault="00284B72" w:rsidP="003D6840">
      <w:pPr>
        <w:pStyle w:val="abstract-1"/>
        <w:rPr>
          <w:rFonts w:hint="eastAsia"/>
        </w:rPr>
      </w:pPr>
      <w:r w:rsidRPr="00266C66">
        <w:rPr>
          <w:b/>
          <w:bCs w:val="0"/>
        </w:rPr>
        <w:t>Abstract</w:t>
      </w:r>
      <w:r w:rsidRPr="00266C66">
        <w:rPr>
          <w:b/>
          <w:bCs w:val="0"/>
          <w:lang w:eastAsia="zh-CN"/>
        </w:rPr>
        <w:t>:</w:t>
      </w:r>
      <w:r w:rsidRPr="001B004C">
        <w:rPr>
          <w:lang w:eastAsia="zh-CN"/>
        </w:rPr>
        <w:t xml:space="preserve"> </w:t>
      </w:r>
      <w:r w:rsidR="003D6840">
        <w:t>T</w:t>
      </w:r>
      <w:r w:rsidR="003D6840" w:rsidRPr="001D44BF">
        <w:t>he building sector has a significant weight in energy consumption and a high potential for increasing its energy efficiency. With the enforcement of the energetic certification, it has been tried to find and select different solutions that presents less energy consumption and waste, which translates into an effective reduction of CO</w:t>
      </w:r>
      <w:r w:rsidR="003D6840" w:rsidRPr="001D44BF">
        <w:rPr>
          <w:vertAlign w:val="subscript"/>
        </w:rPr>
        <w:t>2</w:t>
      </w:r>
      <w:r w:rsidR="003D6840" w:rsidRPr="001D44BF">
        <w:t xml:space="preserve"> emissions. It is in this perspective that</w:t>
      </w:r>
      <w:r w:rsidR="003D6840">
        <w:t xml:space="preserve"> this work fits, since its </w:t>
      </w:r>
      <w:r w:rsidR="003D6840" w:rsidRPr="001D44BF">
        <w:t xml:space="preserve">aim is to evaluate the contribution of passive and active solutions of a hotel </w:t>
      </w:r>
      <w:r w:rsidR="003D6840">
        <w:t xml:space="preserve">located in Portugal, </w:t>
      </w:r>
      <w:r w:rsidR="003D6840" w:rsidRPr="001D44BF">
        <w:t>for the improvement of the energetic efficiency, as well as to evaluate the contribution of some</w:t>
      </w:r>
      <w:r w:rsidR="003D6840">
        <w:t xml:space="preserve"> renewable energy sources</w:t>
      </w:r>
      <w:r w:rsidR="003D6840" w:rsidRPr="001D44BF">
        <w:t>.</w:t>
      </w:r>
      <w:r w:rsidR="003D6840">
        <w:t xml:space="preserve"> Besides, the c</w:t>
      </w:r>
      <w:r w:rsidR="003D6840" w:rsidRPr="001D44BF">
        <w:t>ogeneration remains as the most effective technology on the conversion of primary energy into electricity and heat. The application of cogeneration technologies in the buildings sector gains notability facing the rise of f</w:t>
      </w:r>
      <w:r w:rsidR="003D6840">
        <w:t>uel prices.</w:t>
      </w:r>
      <w:r w:rsidR="003D6840" w:rsidRPr="001D44BF">
        <w:t xml:space="preserve"> To improve the building performance, there were made several changes on the </w:t>
      </w:r>
      <w:r w:rsidR="003D6840">
        <w:t xml:space="preserve">dynamic </w:t>
      </w:r>
      <w:r w:rsidR="003D6840" w:rsidRPr="001D44BF">
        <w:t xml:space="preserve">model </w:t>
      </w:r>
      <w:r w:rsidR="003D6840">
        <w:t xml:space="preserve">used </w:t>
      </w:r>
      <w:r w:rsidR="003D6840" w:rsidRPr="001D44BF">
        <w:t>with the goal of evaluating the contribution of different solutions. It was concluded that they contribute to a reduction of thermal needs of 25.2% and avoided emissions of equivalent tons of CO</w:t>
      </w:r>
      <w:r w:rsidR="003D6840" w:rsidRPr="001D44BF">
        <w:rPr>
          <w:vertAlign w:val="subscript"/>
        </w:rPr>
        <w:t>2</w:t>
      </w:r>
      <w:r w:rsidR="003D6840" w:rsidRPr="001D44BF">
        <w:t xml:space="preserve"> of 30.4%.The analysis of the technical/economic viability of the implementation</w:t>
      </w:r>
      <w:r w:rsidR="003D6840">
        <w:t xml:space="preserve"> of the CHCP becomes feasible</w:t>
      </w:r>
      <w:r w:rsidR="003D6840">
        <w:rPr>
          <w:rFonts w:eastAsiaTheme="minorEastAsia" w:hint="eastAsia"/>
          <w:lang w:eastAsia="zh-CN"/>
        </w:rPr>
        <w:t xml:space="preserve"> </w:t>
      </w:r>
      <w:r w:rsidR="003D6840" w:rsidRPr="001D44BF">
        <w:t xml:space="preserve">with an absorption chiller to produce cooling. The </w:t>
      </w:r>
      <w:r w:rsidR="003D6840">
        <w:t xml:space="preserve">payback period </w:t>
      </w:r>
      <w:r w:rsidR="003D6840" w:rsidRPr="001D44BF">
        <w:t xml:space="preserve">is less than </w:t>
      </w:r>
      <w:r w:rsidR="003D6840">
        <w:t xml:space="preserve">8 years which proves that it </w:t>
      </w:r>
      <w:r w:rsidR="003D6840" w:rsidRPr="001D44BF">
        <w:t>is an economic viability of this technology</w:t>
      </w:r>
      <w:r w:rsidR="003D6840">
        <w:t>.</w:t>
      </w:r>
    </w:p>
    <w:p w:rsidR="00284B72" w:rsidRPr="001B004C" w:rsidRDefault="00284B72" w:rsidP="00284B72">
      <w:pPr>
        <w:pStyle w:val="-12"/>
        <w:rPr>
          <w:rFonts w:hint="eastAsia"/>
          <w:b/>
          <w:sz w:val="18"/>
          <w:lang w:eastAsia="zh-CN"/>
        </w:rPr>
      </w:pPr>
    </w:p>
    <w:p w:rsidR="00284B72" w:rsidRPr="008251FA" w:rsidRDefault="00284B72" w:rsidP="003D6840">
      <w:pPr>
        <w:pStyle w:val="abstract-1"/>
        <w:rPr>
          <w:rFonts w:eastAsia="宋体" w:hint="eastAsia"/>
        </w:rPr>
      </w:pPr>
      <w:r w:rsidRPr="001B004C">
        <w:rPr>
          <w:b/>
        </w:rPr>
        <w:t>Key words:</w:t>
      </w:r>
      <w:r w:rsidR="0085166E">
        <w:rPr>
          <w:rFonts w:eastAsia="宋体" w:hint="eastAsia"/>
          <w:b/>
          <w:lang w:eastAsia="zh-CN"/>
        </w:rPr>
        <w:t xml:space="preserve"> </w:t>
      </w:r>
      <w:r w:rsidR="003D6840" w:rsidRPr="001D44BF">
        <w:t>CHCP, energy analysis, avoided CO</w:t>
      </w:r>
      <w:r w:rsidR="003D6840" w:rsidRPr="001D44BF">
        <w:rPr>
          <w:vertAlign w:val="subscript"/>
        </w:rPr>
        <w:t xml:space="preserve">2 </w:t>
      </w:r>
      <w:r w:rsidR="003D6840" w:rsidRPr="001D44BF">
        <w:t>emissions, economic analysis</w:t>
      </w:r>
    </w:p>
    <w:p w:rsidR="00284B72" w:rsidRPr="001B004C" w:rsidRDefault="00284B72" w:rsidP="00284B72">
      <w:pPr>
        <w:pStyle w:val="-12"/>
        <w:rPr>
          <w:rFonts w:hint="eastAsia"/>
          <w:lang w:eastAsia="zh-CN"/>
        </w:rPr>
      </w:pPr>
    </w:p>
    <w:p w:rsidR="00284B72" w:rsidRPr="001B004C" w:rsidRDefault="00284B72" w:rsidP="00284B72">
      <w:pPr>
        <w:pStyle w:val="-12"/>
        <w:adjustRightInd/>
        <w:snapToGrid/>
        <w:spacing w:line="240" w:lineRule="auto"/>
        <w:rPr>
          <w:b/>
        </w:rPr>
        <w:sectPr w:rsidR="00284B72" w:rsidRPr="001B004C" w:rsidSect="006B1DAD">
          <w:headerReference w:type="even" r:id="rId9"/>
          <w:headerReference w:type="default" r:id="rId10"/>
          <w:footerReference w:type="even" r:id="rId11"/>
          <w:footerReference w:type="default" r:id="rId12"/>
          <w:headerReference w:type="first" r:id="rId13"/>
          <w:footerReference w:type="first" r:id="rId14"/>
          <w:type w:val="continuous"/>
          <w:pgSz w:w="11907" w:h="16160"/>
          <w:pgMar w:top="1701" w:right="1134" w:bottom="1418" w:left="1134" w:header="1134" w:footer="1134" w:gutter="0"/>
          <w:pgNumType w:start="562"/>
          <w:cols w:space="720"/>
          <w:titlePg/>
          <w:docGrid w:type="lines" w:linePitch="312"/>
        </w:sectPr>
      </w:pPr>
    </w:p>
    <w:p w:rsidR="00284B72" w:rsidRPr="001B004C" w:rsidRDefault="00284B72" w:rsidP="003D6840">
      <w:pPr>
        <w:pStyle w:val="Headline-1"/>
      </w:pPr>
      <w:r w:rsidRPr="001B004C">
        <w:lastRenderedPageBreak/>
        <w:t xml:space="preserve">1. </w:t>
      </w:r>
      <w:r w:rsidR="003D6840" w:rsidRPr="003D6840">
        <w:t>Introduction</w:t>
      </w:r>
      <w:r w:rsidR="00A7443D" w:rsidRPr="00A7443D">
        <w:rPr>
          <w:rStyle w:val="a9"/>
          <w:vertAlign w:val="baseline"/>
        </w:rPr>
        <w:t xml:space="preserve"> </w:t>
      </w:r>
      <w:r w:rsidR="00F16FF3" w:rsidRPr="00F16FF3">
        <w:rPr>
          <w:rStyle w:val="a9"/>
        </w:rPr>
        <w:footnoteReference w:customMarkFollows="1" w:id="2"/>
        <w:sym w:font="Symbol" w:char="F020"/>
      </w:r>
    </w:p>
    <w:p w:rsidR="00E97D21" w:rsidRPr="00EC3C78" w:rsidRDefault="00E97D21" w:rsidP="009C098C">
      <w:pPr>
        <w:pStyle w:val="text-2"/>
        <w:snapToGrid w:val="0"/>
        <w:spacing w:line="307" w:lineRule="auto"/>
      </w:pPr>
      <w:r w:rsidRPr="00EC3C78">
        <w:t xml:space="preserve">Hotels are buildings which have high energy demands and water consumption that decisively reflects in operating costs. It is in the tertiary sector </w:t>
      </w:r>
      <w:r w:rsidR="008E13F5" w:rsidRPr="00EC3C78">
        <w:t>are</w:t>
      </w:r>
      <w:r w:rsidRPr="00EC3C78">
        <w:t xml:space="preserve"> great potentials for improving energy efficiency. </w:t>
      </w:r>
    </w:p>
    <w:p w:rsidR="00E97D21" w:rsidRPr="00EC3C78" w:rsidRDefault="00E97D21" w:rsidP="009C098C">
      <w:pPr>
        <w:pStyle w:val="text-2"/>
        <w:snapToGrid w:val="0"/>
        <w:spacing w:line="307" w:lineRule="auto"/>
      </w:pPr>
      <w:r w:rsidRPr="00EC3C78">
        <w:t xml:space="preserve">It is thus essential to develop a sustainable strategy to keep in account the environmental, social and economic impact of all and each one the parts that make up the building. In this sense, energy optimization and resources plays a major role in driving the operation of buildings. These concerns must be present and reflect up from the design phase, that is, in the early stages of development of their project. The energy optimization is to select the solutions that promote the reduction of energy </w:t>
      </w:r>
      <w:r w:rsidRPr="00EC3C78">
        <w:lastRenderedPageBreak/>
        <w:t>consumption, waste and a reduction of emissions of greenhouse gases (CO</w:t>
      </w:r>
      <w:r w:rsidRPr="00EC3C78">
        <w:rPr>
          <w:vertAlign w:val="subscript"/>
        </w:rPr>
        <w:t>2</w:t>
      </w:r>
      <w:r w:rsidRPr="00EC3C78">
        <w:t>).</w:t>
      </w:r>
    </w:p>
    <w:p w:rsidR="00E97D21" w:rsidRPr="00EC3C78" w:rsidRDefault="00E97D21" w:rsidP="009C098C">
      <w:pPr>
        <w:pStyle w:val="text-2"/>
      </w:pPr>
      <w:r w:rsidRPr="00EC3C78">
        <w:t xml:space="preserve">It should be noted that the energy optimization of a building does not pass only by mandatory large measures with high energy impacts and operating costs. It is many sometimes the result of the adoption of small actions that represent small impacts, the sum which are of importance for the intended purpose </w:t>
      </w:r>
      <w:r w:rsidR="009C098C">
        <w:rPr>
          <w:lang w:val="en-US"/>
        </w:rPr>
        <w:t>—</w:t>
      </w:r>
      <w:r w:rsidRPr="00EC3C78">
        <w:t xml:space="preserve"> to reduce energy consumption and associated operating costs.</w:t>
      </w:r>
    </w:p>
    <w:p w:rsidR="00E97D21" w:rsidRDefault="00E97D21" w:rsidP="008E13F5">
      <w:pPr>
        <w:pStyle w:val="text-2"/>
      </w:pPr>
      <w:r w:rsidRPr="00EC3C78">
        <w:t>Despite the importance assumed by using renewable energies in the third sector, cogeneration remains as the most effective technology on the conversion of primary energy (fossil or renewable sources) into electricity and heat [1,</w:t>
      </w:r>
      <w:r w:rsidR="008E13F5">
        <w:rPr>
          <w:rFonts w:hint="eastAsia"/>
        </w:rPr>
        <w:t xml:space="preserve"> </w:t>
      </w:r>
      <w:r w:rsidRPr="00EC3C78">
        <w:t>2]. The application of cogeneration technologies on the third sector gains notability facing the rise of fuel prices and the need to ensure adequacy and comfort of spaces [3-6].</w:t>
      </w:r>
    </w:p>
    <w:p w:rsidR="00E97D21" w:rsidRPr="00EC3C78" w:rsidRDefault="00E97D21" w:rsidP="008E13F5">
      <w:pPr>
        <w:pStyle w:val="text-2"/>
      </w:pPr>
      <w:r w:rsidRPr="00EC3C78">
        <w:t>The micro-power generation [7], as an activity for</w:t>
      </w:r>
      <w:r w:rsidR="008E13F5">
        <w:rPr>
          <w:rFonts w:eastAsiaTheme="minorEastAsia" w:hint="eastAsia"/>
        </w:rPr>
        <w:t xml:space="preserve"> </w:t>
      </w:r>
      <w:r w:rsidRPr="00EC3C78">
        <w:t>low tension electricity production</w:t>
      </w:r>
      <w:r w:rsidR="008E13F5">
        <w:rPr>
          <w:rFonts w:eastAsiaTheme="minorEastAsia" w:hint="eastAsia"/>
        </w:rPr>
        <w:t xml:space="preserve"> </w:t>
      </w:r>
      <w:r w:rsidRPr="00EC3C78">
        <w:t xml:space="preserve">with the possibility of energy delivery to the public grid, was regulated by </w:t>
      </w:r>
      <w:r w:rsidRPr="00EC3C78">
        <w:lastRenderedPageBreak/>
        <w:t xml:space="preserve">several Decree-Laws [8, 9]. The actual </w:t>
      </w:r>
      <w:r w:rsidR="008E13F5" w:rsidRPr="00EC3C78">
        <w:t>ordinance stipulates</w:t>
      </w:r>
      <w:r w:rsidRPr="00EC3C78">
        <w:t xml:space="preserve"> that the electricity produced is destined predominantly for their own consumption, and the surplus that can be delivered to third parties or to the public, with 150 kW limit in the case of power delivery to be made public. For the production of electricity on a large scale, using photovoltaics systems, the remuneration given to national electric system network is regulated by Decree-Law No 225/2007 of 31 May, [10]. Thus, the use of photovoltaic panels is becoming increasingly common practice more visible in several countries. So along with energy efficiency measures, the increasing integration of renewable energy in buildings, fits to aims to</w:t>
      </w:r>
      <w:r w:rsidR="008E13F5">
        <w:rPr>
          <w:rFonts w:eastAsiaTheme="minorEastAsia" w:hint="eastAsia"/>
        </w:rPr>
        <w:t xml:space="preserve"> </w:t>
      </w:r>
      <w:r w:rsidRPr="00EC3C78">
        <w:t>reach the 2020 targets stipulated. The energy consumption of the building is directly related to passive and active the solutions that will be analyzed.</w:t>
      </w:r>
    </w:p>
    <w:p w:rsidR="00E97D21" w:rsidRPr="00EC3C78" w:rsidRDefault="00E97D21" w:rsidP="008E13F5">
      <w:pPr>
        <w:pStyle w:val="text-2"/>
      </w:pPr>
      <w:r w:rsidRPr="00EC3C78">
        <w:t>In this work a hotel located in Portugal was studied. The dynamic codes TRACE700 v. 6.2.5 and TSOL were used respectively for the evaluation of energy needs in HVAC system and for sanitary hot water demand. It was verified that the higher consumptions were on the electric ones, specifically the one of lightning (32.4%) and the equipment’s (25.8%), followed by the HVAC, ventilation (11.6%) and cooling (10.8%). To analyze the contribution of different solutions, in order to increase the energetic efficiency of the hotel, there were made several changes on the transient computer model. The analysis of the technical/economic viability of the implementation of a cogeneration/trigeneration becomes at two levels, where the technologies tested were analyzed</w:t>
      </w:r>
      <w:r w:rsidR="008E13F5">
        <w:rPr>
          <w:rFonts w:eastAsiaTheme="minorEastAsia" w:hint="eastAsia"/>
        </w:rPr>
        <w:t xml:space="preserve"> </w:t>
      </w:r>
      <w:r w:rsidRPr="00EC3C78">
        <w:t>to adapt them to the thermal needs of the building. Among several solutions, namely micro turbines and fuel cells, it was chosen a system based on an internal combustion engine running on natural gas, with the help of an absorption chiller to produce cold. The payback period of this solution is less than 8 years.</w:t>
      </w:r>
    </w:p>
    <w:p w:rsidR="00E97D21" w:rsidRDefault="008E13F5" w:rsidP="008E13F5">
      <w:pPr>
        <w:pStyle w:val="Headline-1"/>
        <w:rPr>
          <w:rFonts w:eastAsiaTheme="minorEastAsia" w:hint="eastAsia"/>
          <w:lang w:eastAsia="zh-CN"/>
        </w:rPr>
      </w:pPr>
      <w:r>
        <w:rPr>
          <w:rFonts w:hint="eastAsia"/>
          <w:lang w:eastAsia="zh-CN"/>
        </w:rPr>
        <w:t xml:space="preserve">2. </w:t>
      </w:r>
      <w:r w:rsidR="00E97D21" w:rsidRPr="002B2611">
        <w:t xml:space="preserve">Parameters to be </w:t>
      </w:r>
      <w:r w:rsidRPr="002B2611">
        <w:t>Evaluated</w:t>
      </w:r>
    </w:p>
    <w:p w:rsidR="002F5E22" w:rsidRPr="002F5E22" w:rsidRDefault="002F5E22" w:rsidP="002F5E22">
      <w:pPr>
        <w:pStyle w:val="text-2"/>
        <w:rPr>
          <w:rFonts w:eastAsiaTheme="minorEastAsia" w:hint="eastAsia"/>
        </w:rPr>
      </w:pPr>
      <w:r w:rsidRPr="00EC3C78">
        <w:t>Pay</w:t>
      </w:r>
      <w:r>
        <w:rPr>
          <w:rFonts w:eastAsiaTheme="minorEastAsia" w:hint="eastAsia"/>
        </w:rPr>
        <w:t xml:space="preserve"> </w:t>
      </w:r>
      <w:r w:rsidRPr="00EC3C78">
        <w:t>back time:</w:t>
      </w:r>
      <w:r>
        <w:rPr>
          <w:rFonts w:eastAsiaTheme="minorEastAsia" w:hint="eastAsia"/>
        </w:rPr>
        <w:t xml:space="preserve"> </w:t>
      </w:r>
      <w:r w:rsidRPr="00EC3C78">
        <w:t xml:space="preserve">is </w:t>
      </w:r>
      <w:r>
        <w:rPr>
          <w:rFonts w:eastAsiaTheme="minorEastAsia" w:hint="eastAsia"/>
        </w:rPr>
        <w:t xml:space="preserve"> </w:t>
      </w:r>
      <w:r w:rsidRPr="00EC3C78">
        <w:t xml:space="preserve">the </w:t>
      </w:r>
      <w:r>
        <w:rPr>
          <w:rFonts w:eastAsiaTheme="minorEastAsia" w:hint="eastAsia"/>
        </w:rPr>
        <w:t xml:space="preserve"> </w:t>
      </w:r>
      <w:r w:rsidRPr="00EC3C78">
        <w:t>project</w:t>
      </w:r>
      <w:r>
        <w:rPr>
          <w:rFonts w:eastAsiaTheme="minorEastAsia"/>
        </w:rPr>
        <w:t>’</w:t>
      </w:r>
      <w:r w:rsidRPr="00EC3C78">
        <w:t xml:space="preserve">s </w:t>
      </w:r>
      <w:r>
        <w:rPr>
          <w:rFonts w:eastAsiaTheme="minorEastAsia" w:hint="eastAsia"/>
        </w:rPr>
        <w:t xml:space="preserve"> </w:t>
      </w:r>
      <w:r w:rsidRPr="00EC3C78">
        <w:t xml:space="preserve">operating </w:t>
      </w:r>
      <w:r>
        <w:rPr>
          <w:rFonts w:eastAsiaTheme="minorEastAsia" w:hint="eastAsia"/>
        </w:rPr>
        <w:t xml:space="preserve"> </w:t>
      </w:r>
      <w:r w:rsidRPr="00EC3C78">
        <w:t>time</w:t>
      </w:r>
    </w:p>
    <w:p w:rsidR="00E97D21" w:rsidRPr="00EC3C78" w:rsidRDefault="00E97D21" w:rsidP="002F5E22">
      <w:pPr>
        <w:pStyle w:val="text-2"/>
        <w:ind w:firstLineChars="0" w:firstLine="0"/>
      </w:pPr>
      <w:r w:rsidRPr="00EC3C78">
        <w:lastRenderedPageBreak/>
        <w:t>necessary to obtain the sum of revenue and expenditure flows that equalize the value of the investment:</w:t>
      </w:r>
    </w:p>
    <w:p w:rsidR="00E97D21" w:rsidRPr="002B2611" w:rsidRDefault="000A6FC5" w:rsidP="009C098C">
      <w:pPr>
        <w:pStyle w:val="text-2"/>
        <w:ind w:firstLineChars="0" w:firstLine="0"/>
        <w:jc w:val="center"/>
      </w:pPr>
      <m:oMathPara>
        <m:oMathParaPr>
          <m:jc m:val="center"/>
        </m:oMathParaPr>
        <m:oMath>
          <m:r>
            <w:rPr>
              <w:rFonts w:ascii="Cambria Math" w:hAnsi="Cambria Math"/>
            </w:rPr>
            <m:t>Payback</m:t>
          </m:r>
          <m:r>
            <m:rPr>
              <m:sty m:val="p"/>
            </m:rPr>
            <w:rPr>
              <w:rFonts w:ascii="Cambria Math" w:hAnsi="Cambria Math"/>
            </w:rPr>
            <m:t>=</m:t>
          </m:r>
          <m:f>
            <m:fPr>
              <m:ctrlPr>
                <w:rPr>
                  <w:rFonts w:ascii="Cambria Math" w:hAnsi="Cambria Math"/>
                </w:rPr>
              </m:ctrlPr>
            </m:fPr>
            <m:num>
              <m:r>
                <w:rPr>
                  <w:rFonts w:ascii="Cambria Math" w:hAnsi="Cambria Math"/>
                </w:rPr>
                <m:t>Initial</m:t>
              </m:r>
              <m:r>
                <m:rPr>
                  <m:sty m:val="p"/>
                </m:rPr>
                <w:rPr>
                  <w:rFonts w:ascii="Cambria Math" w:hAnsi="Cambria Math"/>
                </w:rPr>
                <m:t xml:space="preserve"> </m:t>
              </m:r>
              <m:r>
                <w:rPr>
                  <w:rFonts w:ascii="Cambria Math" w:hAnsi="Cambria Math"/>
                </w:rPr>
                <m:t>Investment</m:t>
              </m:r>
            </m:num>
            <m:den>
              <m:r>
                <w:rPr>
                  <w:rFonts w:ascii="Cambria Math" w:hAnsi="Cambria Math"/>
                </w:rPr>
                <m:t>Annual</m:t>
              </m:r>
              <m:r>
                <m:rPr>
                  <m:sty m:val="p"/>
                </m:rPr>
                <w:rPr>
                  <w:rFonts w:ascii="Cambria Math" w:hAnsi="Cambria Math"/>
                </w:rPr>
                <m:t xml:space="preserve"> </m:t>
              </m:r>
              <m:r>
                <w:rPr>
                  <w:rFonts w:ascii="Cambria Math" w:hAnsi="Cambria Math"/>
                </w:rPr>
                <m:t>Revenues</m:t>
              </m:r>
            </m:den>
          </m:f>
        </m:oMath>
      </m:oMathPara>
    </w:p>
    <w:p w:rsidR="00E97D21" w:rsidRPr="00EC3C78" w:rsidRDefault="00E97D21" w:rsidP="009C098C">
      <w:pPr>
        <w:pStyle w:val="text-2"/>
      </w:pPr>
      <w:r w:rsidRPr="00EC3C78">
        <w:t>Energy Efficiency Index (EEI) [kgep.m-</w:t>
      </w:r>
      <w:r w:rsidRPr="00EC3C78">
        <w:rPr>
          <w:vertAlign w:val="superscript"/>
        </w:rPr>
        <w:t>2</w:t>
      </w:r>
      <w:r w:rsidRPr="00EC3C78">
        <w:t>.year</w:t>
      </w:r>
      <w:r w:rsidRPr="00EC3C78">
        <w:rPr>
          <w:vertAlign w:val="superscript"/>
        </w:rPr>
        <w:t>-1</w:t>
      </w:r>
      <w:r w:rsidRPr="00EC3C78">
        <w:t>]. According to Decree-Laws already specified, there are several formulas to evaluate the EEI (not shown here) and deals with specific consumption for heating, cooling and lighting, for each typology. This parameter is important in order to define in which energy classes the building belongs.</w:t>
      </w:r>
    </w:p>
    <w:p w:rsidR="009C098C" w:rsidRDefault="00E97D21" w:rsidP="009C098C">
      <w:pPr>
        <w:pStyle w:val="text-2"/>
        <w:rPr>
          <w:rFonts w:eastAsiaTheme="minorEastAsia" w:hint="eastAsia"/>
        </w:rPr>
      </w:pPr>
      <w:r w:rsidRPr="00EC3C78">
        <w:t xml:space="preserve">EEE (Equivalent Electrical Efficiency). By the Decree Laws in force, this parameter is given by: </w:t>
      </w:r>
    </w:p>
    <w:p w:rsidR="00E97D21" w:rsidRPr="00EC3C78" w:rsidRDefault="000A6FC5" w:rsidP="009C098C">
      <w:pPr>
        <w:pStyle w:val="text-2"/>
      </w:pPr>
      <m:oMathPara>
        <m:oMath>
          <m:r>
            <w:rPr>
              <w:rFonts w:ascii="Cambria Math" w:hAnsi="Cambria Math"/>
            </w:rPr>
            <m:t>EEE=</m:t>
          </m:r>
          <m:f>
            <m:fPr>
              <m:ctrlPr>
                <w:rPr>
                  <w:rFonts w:ascii="Cambria Math" w:hAnsi="Cambria Math"/>
                  <w:i/>
                </w:rPr>
              </m:ctrlPr>
            </m:fPr>
            <m:num>
              <m:r>
                <w:rPr>
                  <w:rFonts w:ascii="Cambria Math" w:hAnsi="Cambria Math"/>
                </w:rPr>
                <m:t>E</m:t>
              </m:r>
            </m:num>
            <m:den>
              <m:r>
                <w:rPr>
                  <w:rFonts w:ascii="Cambria Math" w:hAnsi="Cambria Math"/>
                </w:rPr>
                <m:t>C-</m:t>
              </m:r>
              <m:f>
                <m:fPr>
                  <m:ctrlPr>
                    <w:rPr>
                      <w:rFonts w:ascii="Cambria Math" w:hAnsi="Cambria Math"/>
                      <w:i/>
                    </w:rPr>
                  </m:ctrlPr>
                </m:fPr>
                <m:num>
                  <m:r>
                    <w:rPr>
                      <w:rFonts w:ascii="Cambria Math" w:hAnsi="Cambria Math"/>
                    </w:rPr>
                    <m:t>T</m:t>
                  </m:r>
                </m:num>
                <m:den>
                  <m:r>
                    <w:rPr>
                      <w:rFonts w:ascii="Cambria Math" w:hAnsi="Cambria Math"/>
                    </w:rPr>
                    <m:t>0.9-0.2</m:t>
                  </m:r>
                  <m:f>
                    <m:fPr>
                      <m:ctrlPr>
                        <w:rPr>
                          <w:rFonts w:ascii="Cambria Math" w:hAnsi="Cambria Math"/>
                          <w:i/>
                        </w:rPr>
                      </m:ctrlPr>
                    </m:fPr>
                    <m:num>
                      <m:r>
                        <w:rPr>
                          <w:rFonts w:ascii="Cambria Math" w:hAnsi="Cambria Math"/>
                        </w:rPr>
                        <m:t>CR</m:t>
                      </m:r>
                    </m:num>
                    <m:den>
                      <m:r>
                        <w:rPr>
                          <w:rFonts w:ascii="Cambria Math" w:hAnsi="Cambria Math"/>
                        </w:rPr>
                        <m:t>C</m:t>
                      </m:r>
                    </m:den>
                  </m:f>
                </m:den>
              </m:f>
            </m:den>
          </m:f>
          <m:r>
            <w:rPr>
              <w:rFonts w:ascii="Cambria Math" w:hAnsi="Cambria Math"/>
            </w:rPr>
            <m:t>≥0.55</m:t>
          </m:r>
        </m:oMath>
      </m:oMathPara>
    </w:p>
    <w:p w:rsidR="00E97D21" w:rsidRPr="00EC3C78" w:rsidRDefault="00E97D21" w:rsidP="00E97D21">
      <w:pPr>
        <w:jc w:val="both"/>
        <w:rPr>
          <w:sz w:val="21"/>
          <w:szCs w:val="21"/>
          <w:lang w:val="en-GB"/>
        </w:rPr>
      </w:pPr>
      <w:r w:rsidRPr="00EC3C78">
        <w:rPr>
          <w:sz w:val="21"/>
          <w:szCs w:val="21"/>
          <w:lang w:val="en-GB"/>
        </w:rPr>
        <w:t>Where:</w:t>
      </w:r>
    </w:p>
    <w:p w:rsidR="00E97D21" w:rsidRPr="00EC3C78" w:rsidRDefault="00E97D21" w:rsidP="005B3457">
      <w:pPr>
        <w:pStyle w:val="text-2"/>
      </w:pPr>
      <w:r w:rsidRPr="00EC3C78">
        <w:t>E [kWh]:</w:t>
      </w:r>
      <w:r w:rsidR="009C098C">
        <w:rPr>
          <w:rFonts w:hint="eastAsia"/>
        </w:rPr>
        <w:t xml:space="preserve"> </w:t>
      </w:r>
      <w:r w:rsidRPr="00EC3C78">
        <w:t>electricity generated annually by the cogeneration system, excluding the consumption in internal auxiliary power generation systems;</w:t>
      </w:r>
    </w:p>
    <w:p w:rsidR="00E97D21" w:rsidRPr="00EC3C78" w:rsidRDefault="00E97D21" w:rsidP="005B3457">
      <w:pPr>
        <w:pStyle w:val="text-2"/>
      </w:pPr>
      <w:r w:rsidRPr="00EC3C78">
        <w:t>T [kWh]: useful thermal energy consumed annually from the thermal energy produced by cogeneration, excluding the consumption in the internal auxiliary power generation systems;</w:t>
      </w:r>
    </w:p>
    <w:p w:rsidR="00E97D21" w:rsidRPr="00EC3C78" w:rsidRDefault="00E97D21" w:rsidP="005B3457">
      <w:pPr>
        <w:pStyle w:val="text-2"/>
      </w:pPr>
      <w:r w:rsidRPr="00EC3C78">
        <w:t>C [kWh]: the primary energy consumed annually in the cogeneration system, evaluated from the lower heating value of fuel and other resources used;</w:t>
      </w:r>
    </w:p>
    <w:p w:rsidR="00E97D21" w:rsidRPr="00EC3C78" w:rsidRDefault="00E97D21" w:rsidP="005B3457">
      <w:pPr>
        <w:pStyle w:val="text-2"/>
      </w:pPr>
      <w:r w:rsidRPr="00EC3C78">
        <w:t>CR [kWh]: equivalent energy of renewable resources or industrial waste, agricultural or urban consumed annually in cogeneration facility.</w:t>
      </w:r>
    </w:p>
    <w:p w:rsidR="00E97D21" w:rsidRPr="00EC3C78" w:rsidRDefault="00E97D21" w:rsidP="005B3457">
      <w:pPr>
        <w:pStyle w:val="text-2"/>
      </w:pPr>
      <w:r w:rsidRPr="00EC3C78">
        <w:t>EEE can assume the following values, according to the same Decrees-Laws:</w:t>
      </w:r>
    </w:p>
    <w:p w:rsidR="00E97D21" w:rsidRPr="00EC3C78" w:rsidRDefault="00E97D21" w:rsidP="005B3457">
      <w:pPr>
        <w:pStyle w:val="text-2"/>
      </w:pPr>
      <w:r w:rsidRPr="00EC3C78">
        <w:t>EEE ≥ 0.55 for installations using natural gas as fuel, gas petroleum or liquid fuels with the exception of fuel;</w:t>
      </w:r>
    </w:p>
    <w:p w:rsidR="00E97D21" w:rsidRPr="00EC3C78" w:rsidRDefault="00E97D21" w:rsidP="005B3457">
      <w:pPr>
        <w:pStyle w:val="text-2"/>
      </w:pPr>
      <w:r w:rsidRPr="00EC3C78">
        <w:t>EEE ≥ 0.50 for installations using fuel oil as fuel, alone or together with waste fuels;</w:t>
      </w:r>
    </w:p>
    <w:p w:rsidR="00E97D21" w:rsidRPr="00EC3C78" w:rsidRDefault="00E97D21" w:rsidP="005B3457">
      <w:pPr>
        <w:pStyle w:val="text-2"/>
      </w:pPr>
      <w:r w:rsidRPr="00EC3C78">
        <w:t>EEE ≥ 0.45 for installations using biomass as fuel or residual fuels, alone or in conjunction with a fuel support, a percentage not exceeding 20% annual average.</w:t>
      </w:r>
    </w:p>
    <w:p w:rsidR="00E97D21" w:rsidRPr="00EC3C78" w:rsidRDefault="00E97D21" w:rsidP="00F56531">
      <w:pPr>
        <w:pStyle w:val="text-2"/>
      </w:pPr>
      <w:r w:rsidRPr="00EC3C78">
        <w:lastRenderedPageBreak/>
        <w:t>For the case study, it will not be analysed the contribution of renewable resources. Thus the formula for calculating the EEE is reduced to the following expression:</w:t>
      </w:r>
    </w:p>
    <w:p w:rsidR="00E97D21" w:rsidRPr="003C6DF7" w:rsidRDefault="000A6FC5" w:rsidP="00F56531">
      <w:pPr>
        <w:pStyle w:val="text-2"/>
      </w:pPr>
      <m:oMathPara>
        <m:oMath>
          <m:r>
            <w:rPr>
              <w:rFonts w:ascii="Cambria Math" w:hAnsi="Cambria Math"/>
            </w:rPr>
            <m:t>EEE</m:t>
          </m:r>
          <m:r>
            <m:rPr>
              <m:sty m:val="p"/>
            </m:rPr>
            <w:rPr>
              <w:rFonts w:ascii="Cambria Math" w:hAnsi="Cambria Math"/>
            </w:rPr>
            <m:t>=</m:t>
          </m:r>
          <m:f>
            <m:fPr>
              <m:ctrlPr>
                <w:rPr>
                  <w:rFonts w:ascii="Cambria Math" w:hAnsi="Cambria Math"/>
                </w:rPr>
              </m:ctrlPr>
            </m:fPr>
            <m:num>
              <m:r>
                <w:rPr>
                  <w:rFonts w:ascii="Cambria Math" w:hAnsi="Cambria Math"/>
                </w:rPr>
                <m:t>E</m:t>
              </m:r>
            </m:num>
            <m:den>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T</m:t>
                  </m:r>
                </m:num>
                <m:den>
                  <m:r>
                    <m:rPr>
                      <m:sty m:val="p"/>
                    </m:rPr>
                    <w:rPr>
                      <w:rFonts w:ascii="Cambria Math" w:hAnsi="Cambria Math"/>
                    </w:rPr>
                    <m:t>0.9</m:t>
                  </m:r>
                </m:den>
              </m:f>
            </m:den>
          </m:f>
          <m:r>
            <m:rPr>
              <m:sty m:val="p"/>
            </m:rPr>
            <w:rPr>
              <w:rFonts w:ascii="Cambria Math" w:hAnsi="Cambria Math"/>
            </w:rPr>
            <m:t>≥0.55</m:t>
          </m:r>
        </m:oMath>
      </m:oMathPara>
    </w:p>
    <w:p w:rsidR="00E97D21" w:rsidRPr="00EC3C78" w:rsidRDefault="00E97D21" w:rsidP="00F56531">
      <w:pPr>
        <w:pStyle w:val="text-2"/>
      </w:pPr>
      <w:r w:rsidRPr="00EC3C78">
        <w:t>For the CHP and CHCP the following parameter must also be evaluated.</w:t>
      </w:r>
    </w:p>
    <w:p w:rsidR="00E97D21" w:rsidRPr="0002551B" w:rsidRDefault="00E97D21" w:rsidP="00F56531">
      <w:pPr>
        <w:pStyle w:val="text-2"/>
        <w:rPr>
          <w:sz w:val="22"/>
          <w:szCs w:val="22"/>
        </w:rPr>
      </w:pPr>
      <w:r w:rsidRPr="00ED79A1">
        <w:t xml:space="preserve">Electrical efficiency, </w:t>
      </w:r>
      <w:r w:rsidRPr="0002551B">
        <w:rPr>
          <w:rFonts w:ascii="Symbol" w:hAnsi="Symbol"/>
          <w:i/>
          <w:sz w:val="22"/>
          <w:szCs w:val="22"/>
        </w:rPr>
        <w:t></w:t>
      </w:r>
      <w:r w:rsidRPr="0002551B">
        <w:rPr>
          <w:i/>
          <w:sz w:val="22"/>
          <w:szCs w:val="22"/>
          <w:vertAlign w:val="subscript"/>
        </w:rPr>
        <w:t>electrical</w:t>
      </w:r>
      <w:r w:rsidRPr="0002551B">
        <w:rPr>
          <w:sz w:val="22"/>
          <w:szCs w:val="22"/>
        </w:rPr>
        <w:t>:</w:t>
      </w:r>
    </w:p>
    <w:p w:rsidR="00E97D21" w:rsidRDefault="00E97D21" w:rsidP="00F56531">
      <w:pPr>
        <w:pStyle w:val="text-2"/>
      </w:pPr>
      <w:r w:rsidRPr="0002551B">
        <w:t>η</w:t>
      </w:r>
      <w:r w:rsidRPr="0002551B">
        <w:rPr>
          <w:vertAlign w:val="subscript"/>
        </w:rPr>
        <w:t>electrical</w:t>
      </w:r>
      <w:r w:rsidRPr="0002551B">
        <w:t xml:space="preserve"> = E</w:t>
      </w:r>
      <w:r w:rsidRPr="0002551B">
        <w:rPr>
          <w:vertAlign w:val="subscript"/>
        </w:rPr>
        <w:t>grosselctricity</w:t>
      </w:r>
      <w:r w:rsidRPr="0002551B">
        <w:t>/Total fuel consumed</w:t>
      </w:r>
    </w:p>
    <w:p w:rsidR="00E97D21" w:rsidRPr="0002551B" w:rsidRDefault="00E97D21" w:rsidP="00F56531">
      <w:pPr>
        <w:pStyle w:val="text-2"/>
        <w:rPr>
          <w:sz w:val="22"/>
          <w:szCs w:val="22"/>
        </w:rPr>
      </w:pPr>
      <w:r w:rsidRPr="00ED79A1">
        <w:t xml:space="preserve">Thermal efficiency, </w:t>
      </w:r>
      <w:r w:rsidRPr="0002551B">
        <w:rPr>
          <w:rFonts w:ascii="Symbol" w:hAnsi="Symbol"/>
          <w:i/>
          <w:sz w:val="22"/>
          <w:szCs w:val="22"/>
        </w:rPr>
        <w:t></w:t>
      </w:r>
      <w:r w:rsidRPr="0002551B">
        <w:rPr>
          <w:i/>
          <w:sz w:val="22"/>
          <w:szCs w:val="22"/>
          <w:vertAlign w:val="subscript"/>
        </w:rPr>
        <w:t>thermal</w:t>
      </w:r>
      <w:r w:rsidRPr="0002551B">
        <w:rPr>
          <w:sz w:val="22"/>
          <w:szCs w:val="22"/>
        </w:rPr>
        <w:t>:</w:t>
      </w:r>
    </w:p>
    <w:p w:rsidR="00E97D21" w:rsidRPr="0002551B" w:rsidRDefault="00E97D21" w:rsidP="00F56531">
      <w:pPr>
        <w:pStyle w:val="text-2"/>
      </w:pPr>
      <w:r w:rsidRPr="0002551B">
        <w:rPr>
          <w:i/>
        </w:rPr>
        <w:t>η</w:t>
      </w:r>
      <w:r w:rsidRPr="0002551B">
        <w:rPr>
          <w:i/>
          <w:vertAlign w:val="subscript"/>
        </w:rPr>
        <w:t>thermal</w:t>
      </w:r>
      <w:r w:rsidRPr="0002551B">
        <w:t xml:space="preserve"> = </w:t>
      </w:r>
      <w:r w:rsidRPr="0002551B">
        <w:rPr>
          <w:i/>
        </w:rPr>
        <w:t>E</w:t>
      </w:r>
      <w:r w:rsidRPr="0002551B">
        <w:rPr>
          <w:i/>
          <w:vertAlign w:val="subscript"/>
        </w:rPr>
        <w:t>gross thermal</w:t>
      </w:r>
      <w:r w:rsidRPr="0002551B">
        <w:t>/Total fuel consumed</w:t>
      </w:r>
    </w:p>
    <w:p w:rsidR="00E97D21" w:rsidRPr="006460A5" w:rsidRDefault="00E97D21" w:rsidP="00F56531">
      <w:pPr>
        <w:pStyle w:val="text-2"/>
      </w:pPr>
      <w:r w:rsidRPr="006460A5">
        <w:t>E</w:t>
      </w:r>
      <w:r w:rsidRPr="006460A5">
        <w:rPr>
          <w:vertAlign w:val="subscript"/>
        </w:rPr>
        <w:t>er</w:t>
      </w:r>
      <w:r w:rsidRPr="006460A5">
        <w:t>:</w:t>
      </w:r>
      <w:r w:rsidRPr="006460A5">
        <w:rPr>
          <w:lang w:val="en-US"/>
        </w:rPr>
        <w:t xml:space="preserve"> maximum </w:t>
      </w:r>
      <w:r w:rsidRPr="006460A5">
        <w:t>quantity of electricity to provide annually to the Electric System of Public Service not higher than the value given by the following equation:</w:t>
      </w:r>
    </w:p>
    <w:p w:rsidR="00E97D21" w:rsidRPr="0002551B" w:rsidRDefault="000A6FC5" w:rsidP="00F56531">
      <w:pPr>
        <w:pStyle w:val="text-2"/>
      </w:pPr>
      <m:oMathPara>
        <m:oMath>
          <m:sSub>
            <m:sSubPr>
              <m:ctrlPr>
                <w:rPr>
                  <w:rFonts w:ascii="Cambria Math" w:hAnsi="Cambria Math"/>
                </w:rPr>
              </m:ctrlPr>
            </m:sSubPr>
            <m:e>
              <m:r>
                <w:rPr>
                  <w:rFonts w:ascii="Cambria Math" w:hAnsi="Cambria Math"/>
                </w:rPr>
                <m:t>E</m:t>
              </m:r>
            </m:e>
            <m:sub>
              <m:r>
                <w:rPr>
                  <w:rFonts w:ascii="Cambria Math" w:hAnsi="Cambria Math"/>
                </w:rPr>
                <m:t>er</m:t>
              </m:r>
            </m:sub>
          </m:sSub>
          <m:r>
            <m:rPr>
              <m:sty m:val="p"/>
            </m:rPr>
            <w:rPr>
              <w:rFonts w:ascii="Cambria Math" w:hAnsi="Cambria Math"/>
            </w:rPr>
            <m:t>=</m:t>
          </m:r>
          <m:d>
            <m:dPr>
              <m:ctrlPr>
                <w:rPr>
                  <w:rFonts w:ascii="Cambria Math" w:hAnsi="Cambria Math"/>
                </w:rPr>
              </m:ctrlPr>
            </m:dPr>
            <m:e>
              <m:r>
                <m:rPr>
                  <m:sty m:val="p"/>
                </m:rPr>
                <w:rPr>
                  <w:rFonts w:ascii="Cambria Math" w:hAnsi="Cambria Math"/>
                </w:rPr>
                <m:t>4.5</m:t>
              </m:r>
              <m:f>
                <m:fPr>
                  <m:ctrlPr>
                    <w:rPr>
                      <w:rFonts w:ascii="Cambria Math" w:hAnsi="Cambria Math"/>
                    </w:rPr>
                  </m:ctrlPr>
                </m:fPr>
                <m:num>
                  <m:r>
                    <w:rPr>
                      <w:rFonts w:ascii="Cambria Math" w:hAnsi="Cambria Math"/>
                    </w:rPr>
                    <m:t>E</m:t>
                  </m:r>
                  <m:r>
                    <m:rPr>
                      <m:sty m:val="p"/>
                    </m:rPr>
                    <w:rPr>
                      <w:rFonts w:ascii="Cambria Math" w:hAnsi="Cambria Math"/>
                    </w:rPr>
                    <m:t>+</m:t>
                  </m:r>
                  <m:r>
                    <w:rPr>
                      <w:rFonts w:ascii="Cambria Math" w:hAnsi="Cambria Math"/>
                    </w:rPr>
                    <m:t>T</m:t>
                  </m:r>
                </m:num>
                <m:den>
                  <m:r>
                    <w:rPr>
                      <w:rFonts w:ascii="Cambria Math" w:hAnsi="Cambria Math"/>
                    </w:rPr>
                    <m:t>E</m:t>
                  </m:r>
                  <m:r>
                    <m:rPr>
                      <m:sty m:val="p"/>
                    </m:rPr>
                    <w:rPr>
                      <w:rFonts w:ascii="Cambria Math" w:hAnsi="Cambria Math"/>
                    </w:rPr>
                    <m:t>+0.5</m:t>
                  </m:r>
                  <m:r>
                    <w:rPr>
                      <w:rFonts w:ascii="Cambria Math" w:hAnsi="Cambria Math"/>
                    </w:rPr>
                    <m:t>T</m:t>
                  </m:r>
                </m:den>
              </m:f>
              <m:r>
                <m:rPr>
                  <m:sty m:val="p"/>
                </m:rPr>
                <w:rPr>
                  <w:rFonts w:ascii="Cambria Math" w:hAnsi="Cambria Math"/>
                </w:rPr>
                <m:t>-4.5</m:t>
              </m:r>
            </m:e>
          </m:d>
          <m:r>
            <w:rPr>
              <w:rFonts w:ascii="Cambria Math" w:hAnsi="Cambria Math"/>
            </w:rPr>
            <m:t>E</m:t>
          </m:r>
        </m:oMath>
      </m:oMathPara>
    </w:p>
    <w:p w:rsidR="00E97D21" w:rsidRPr="006460A5" w:rsidRDefault="00E97D21" w:rsidP="00B2083D">
      <w:pPr>
        <w:pStyle w:val="text-2"/>
      </w:pPr>
      <w:r w:rsidRPr="006460A5">
        <w:t>Saving Energy Index (ESI): ratio of the fuel economy obtained in the cogeneration engine when compared to the amount of fuel consumed in a conventional installation, i.e. an electrical plant</w:t>
      </w:r>
      <w:r w:rsidRPr="006460A5">
        <w:rPr>
          <w:lang w:val="en-US"/>
        </w:rPr>
        <w:t xml:space="preserve"> with an efficiency </w:t>
      </w:r>
      <w:r w:rsidR="00B2083D" w:rsidRPr="00B2083D">
        <w:rPr>
          <w:i/>
          <w:iCs/>
          <w:lang w:val="en-US"/>
        </w:rPr>
        <w:sym w:font="Symbol" w:char="F068"/>
      </w:r>
      <w:r w:rsidR="00B2083D" w:rsidRPr="00B2083D">
        <w:rPr>
          <w:rFonts w:eastAsiaTheme="minorEastAsia" w:hint="eastAsia"/>
          <w:i/>
          <w:iCs/>
          <w:vertAlign w:val="subscript"/>
          <w:lang w:val="en-US"/>
        </w:rPr>
        <w:t>c</w:t>
      </w:r>
      <w:r w:rsidRPr="006460A5">
        <w:t xml:space="preserve">, a boilerwith an efficiency </w:t>
      </w:r>
      <w:r w:rsidR="00B2083D" w:rsidRPr="00B2083D">
        <w:rPr>
          <w:i/>
          <w:iCs/>
          <w:lang w:val="en-US"/>
        </w:rPr>
        <w:sym w:font="Symbol" w:char="F068"/>
      </w:r>
      <w:r w:rsidR="00B2083D">
        <w:rPr>
          <w:rFonts w:eastAsiaTheme="minorEastAsia" w:hint="eastAsia"/>
          <w:i/>
          <w:iCs/>
          <w:vertAlign w:val="subscript"/>
          <w:lang w:val="en-US"/>
        </w:rPr>
        <w:t>b</w:t>
      </w:r>
      <w:r w:rsidR="00B2083D" w:rsidRPr="006460A5">
        <w:rPr>
          <w:rFonts w:ascii="Cambria Math" w:hAnsi="Cambria Math" w:cs="Cambria Math"/>
        </w:rPr>
        <w:t xml:space="preserve"> </w:t>
      </w:r>
      <w:r w:rsidRPr="006460A5">
        <w:t>and an electric chiller with a COP</w:t>
      </w:r>
      <w:r w:rsidRPr="006460A5">
        <w:rPr>
          <w:vertAlign w:val="subscript"/>
        </w:rPr>
        <w:t>comp</w:t>
      </w:r>
      <w:r w:rsidRPr="006460A5">
        <w:t>. It is given by the following expression:</w:t>
      </w:r>
    </w:p>
    <w:p w:rsidR="00E97D21" w:rsidRPr="00030C20" w:rsidRDefault="000A6FC5" w:rsidP="00F56531">
      <w:pPr>
        <w:pStyle w:val="text-2"/>
      </w:pPr>
      <m:oMathPara>
        <m:oMathParaPr>
          <m:jc m:val="center"/>
        </m:oMathParaPr>
        <m:oMath>
          <m:r>
            <w:rPr>
              <w:rFonts w:ascii="Cambria Math" w:hAnsi="Cambria Math"/>
            </w:rPr>
            <m:t>ESI</m:t>
          </m:r>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e</m:t>
                      </m:r>
                      <m:r>
                        <m:rPr>
                          <m:sty m:val="p"/>
                        </m:rPr>
                        <w:rPr>
                          <w:rFonts w:ascii="Cambria Math" w:hAnsi="Cambria Math"/>
                        </w:rPr>
                        <m:t>,</m:t>
                      </m:r>
                      <m:r>
                        <w:rPr>
                          <w:rFonts w:ascii="Cambria Math" w:hAnsi="Cambria Math"/>
                        </w:rPr>
                        <m:t>C</m:t>
                      </m:r>
                    </m:sub>
                  </m:sSub>
                </m:num>
                <m:den>
                  <m:sSub>
                    <m:sSubPr>
                      <m:ctrlPr>
                        <w:rPr>
                          <w:rFonts w:ascii="Cambria Math" w:hAnsi="Cambria Math"/>
                        </w:rPr>
                      </m:ctrlPr>
                    </m:sSubPr>
                    <m:e>
                      <m:r>
                        <w:rPr>
                          <w:rFonts w:ascii="Cambria Math" w:hAnsi="Cambria Math"/>
                        </w:rPr>
                        <m:t>η</m:t>
                      </m:r>
                    </m:e>
                    <m:sub>
                      <m:r>
                        <w:rPr>
                          <w:rFonts w:ascii="Cambria Math" w:hAnsi="Cambria Math"/>
                        </w:rPr>
                        <m:t>c</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e</m:t>
                      </m:r>
                      <m:r>
                        <m:rPr>
                          <m:sty m:val="p"/>
                        </m:rPr>
                        <w:rPr>
                          <w:rFonts w:ascii="Cambria Math" w:hAnsi="Cambria Math"/>
                        </w:rPr>
                        <m:t>,</m:t>
                      </m:r>
                      <m:r>
                        <w:rPr>
                          <w:rFonts w:ascii="Cambria Math" w:hAnsi="Cambria Math"/>
                        </w:rPr>
                        <m:t>C</m:t>
                      </m:r>
                    </m:sub>
                  </m:sSub>
                  <m:r>
                    <w:rPr>
                      <w:rFonts w:ascii="Cambria Math" w:hAnsi="Cambria Math"/>
                    </w:rPr>
                    <m:t>xRCE</m:t>
                  </m:r>
                </m:num>
                <m:den>
                  <m:sSub>
                    <m:sSubPr>
                      <m:ctrlPr>
                        <w:rPr>
                          <w:rFonts w:ascii="Cambria Math" w:hAnsi="Cambria Math"/>
                        </w:rPr>
                      </m:ctrlPr>
                    </m:sSubPr>
                    <m:e>
                      <m:r>
                        <w:rPr>
                          <w:rFonts w:ascii="Cambria Math" w:hAnsi="Cambria Math"/>
                        </w:rPr>
                        <m:t>η</m:t>
                      </m:r>
                    </m:e>
                    <m:sub>
                      <m:r>
                        <w:rPr>
                          <w:rFonts w:ascii="Cambria Math" w:hAnsi="Cambria Math"/>
                        </w:rPr>
                        <m:t>b</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η</m:t>
                      </m:r>
                    </m:e>
                    <m:sub>
                      <m:r>
                        <w:rPr>
                          <w:rFonts w:ascii="Cambria Math" w:hAnsi="Cambria Math"/>
                        </w:rPr>
                        <m:t>e</m:t>
                      </m:r>
                      <m:r>
                        <m:rPr>
                          <m:sty m:val="p"/>
                        </m:rPr>
                        <w:rPr>
                          <w:rFonts w:ascii="Cambria Math" w:hAnsi="Cambria Math"/>
                        </w:rPr>
                        <m:t>,</m:t>
                      </m:r>
                      <m:r>
                        <w:rPr>
                          <w:rFonts w:ascii="Cambria Math" w:hAnsi="Cambria Math"/>
                        </w:rPr>
                        <m:t>C</m:t>
                      </m:r>
                    </m:sub>
                  </m:sSub>
                  <m:r>
                    <w:rPr>
                      <w:rFonts w:ascii="Cambria Math" w:hAnsi="Cambria Math"/>
                    </w:rPr>
                    <m:t>xRFE</m:t>
                  </m:r>
                </m:num>
                <m:den>
                  <m:sSub>
                    <m:sSubPr>
                      <m:ctrlPr>
                        <w:rPr>
                          <w:rFonts w:ascii="Cambria Math" w:hAnsi="Cambria Math"/>
                        </w:rPr>
                      </m:ctrlPr>
                    </m:sSubPr>
                    <m:e>
                      <m:r>
                        <w:rPr>
                          <w:rFonts w:ascii="Cambria Math" w:hAnsi="Cambria Math"/>
                        </w:rPr>
                        <m:t>COP</m:t>
                      </m:r>
                    </m:e>
                    <m:sub>
                      <m:r>
                        <w:rPr>
                          <w:rFonts w:ascii="Cambria Math" w:hAnsi="Cambria Math"/>
                        </w:rPr>
                        <m:t>comp</m:t>
                      </m:r>
                    </m:sub>
                  </m:sSub>
                </m:den>
              </m:f>
            </m:den>
          </m:f>
        </m:oMath>
      </m:oMathPara>
    </w:p>
    <w:p w:rsidR="00E97D21" w:rsidRDefault="00E97D21" w:rsidP="00F56531">
      <w:pPr>
        <w:pStyle w:val="text-2"/>
      </w:pPr>
      <w:r>
        <w:t>Where:</w:t>
      </w:r>
    </w:p>
    <w:p w:rsidR="00E97D21" w:rsidRPr="006460A5" w:rsidRDefault="00E97D21" w:rsidP="00F56531">
      <w:pPr>
        <w:pStyle w:val="text-2"/>
      </w:pPr>
      <w:r w:rsidRPr="006460A5">
        <w:t>RCE and RFE are respectively the ratios between heat and electricity and the ratio between cooling and electricity in the CHCP;</w:t>
      </w:r>
    </w:p>
    <w:p w:rsidR="00E97D21" w:rsidRPr="003E1A72" w:rsidRDefault="00F56531" w:rsidP="00F56531">
      <w:pPr>
        <w:pStyle w:val="Headline-1"/>
      </w:pPr>
      <w:r>
        <w:rPr>
          <w:rFonts w:hint="eastAsia"/>
          <w:lang w:eastAsia="zh-CN"/>
        </w:rPr>
        <w:t xml:space="preserve">3. </w:t>
      </w:r>
      <w:r w:rsidR="00E97D21" w:rsidRPr="003E1A72">
        <w:t xml:space="preserve">Annual Thermal Analysis of the </w:t>
      </w:r>
      <w:r>
        <w:rPr>
          <w:rFonts w:eastAsiaTheme="minorEastAsia" w:hint="eastAsia"/>
          <w:lang w:eastAsia="zh-CN"/>
        </w:rPr>
        <w:t>H</w:t>
      </w:r>
      <w:r w:rsidR="00E97D21" w:rsidRPr="003E1A72">
        <w:t>otel</w:t>
      </w:r>
    </w:p>
    <w:p w:rsidR="00E97D21" w:rsidRDefault="00E97D21" w:rsidP="00E97D21">
      <w:pPr>
        <w:pStyle w:val="text-2"/>
        <w:ind w:firstLineChars="0" w:firstLine="0"/>
        <w:rPr>
          <w:rFonts w:eastAsiaTheme="minorEastAsia" w:hint="eastAsia"/>
          <w:lang w:val="en-US"/>
        </w:rPr>
      </w:pPr>
      <w:r w:rsidRPr="003E1A72">
        <w:rPr>
          <w:lang w:val="en-US"/>
        </w:rPr>
        <w:t xml:space="preserve">In the base case, it was followed the RCCTE (Council Regulation of the Characteristics of the Thermal Behavior of Buildings). The U values of the internal and external envelope was calculated and are shown in </w:t>
      </w:r>
      <w:r w:rsidRPr="00F56531">
        <w:rPr>
          <w:highlight w:val="red"/>
          <w:lang w:val="en-US"/>
        </w:rPr>
        <w:t>Table 1</w:t>
      </w:r>
      <w:r w:rsidRPr="003E1A72">
        <w:rPr>
          <w:lang w:val="en-US"/>
        </w:rPr>
        <w:t>.</w:t>
      </w:r>
    </w:p>
    <w:p w:rsidR="00A857FB" w:rsidRPr="00A857FB" w:rsidRDefault="00A857FB" w:rsidP="00A857FB">
      <w:pPr>
        <w:pStyle w:val="text-2"/>
        <w:rPr>
          <w:rFonts w:eastAsiaTheme="minorEastAsia" w:hint="eastAsia"/>
          <w:lang w:val="en-US"/>
        </w:rPr>
      </w:pPr>
      <w:r w:rsidRPr="003E1A72">
        <w:t>As already mentioned, the energy needs of the hotel were simulated with the dynamics codes TRACE700 v.</w:t>
      </w:r>
    </w:p>
    <w:p w:rsidR="00601738" w:rsidRDefault="00A857FB" w:rsidP="00E97D21">
      <w:pPr>
        <w:pStyle w:val="text-2"/>
        <w:ind w:firstLineChars="0" w:firstLine="0"/>
        <w:rPr>
          <w:rFonts w:eastAsiaTheme="minorEastAsia" w:hint="eastAsia"/>
          <w:lang w:val="id-ID"/>
        </w:rPr>
      </w:pPr>
      <w:r w:rsidRPr="00A857FB">
        <w:rPr>
          <w:b/>
          <w:bCs/>
          <w:sz w:val="18"/>
          <w:szCs w:val="18"/>
        </w:rPr>
        <w:lastRenderedPageBreak/>
        <w:t xml:space="preserve">Table 1 </w:t>
      </w:r>
      <w:r w:rsidR="00E97D21" w:rsidRPr="00A857FB">
        <w:rPr>
          <w:b/>
          <w:bCs/>
          <w:sz w:val="18"/>
          <w:szCs w:val="18"/>
          <w:lang w:val="en-US"/>
        </w:rPr>
        <w:t xml:space="preserve"> U values [Wm</w:t>
      </w:r>
      <w:r w:rsidR="00E97D21" w:rsidRPr="00A857FB">
        <w:rPr>
          <w:b/>
          <w:bCs/>
          <w:sz w:val="18"/>
          <w:szCs w:val="18"/>
          <w:vertAlign w:val="superscript"/>
          <w:lang w:val="en-US"/>
        </w:rPr>
        <w:t>-2</w:t>
      </w:r>
      <w:r w:rsidR="00E97D21" w:rsidRPr="00A857FB">
        <w:rPr>
          <w:b/>
          <w:bCs/>
          <w:sz w:val="18"/>
          <w:szCs w:val="18"/>
          <w:lang w:val="en-US"/>
        </w:rPr>
        <w:t>ºC</w:t>
      </w:r>
      <w:r w:rsidR="00E97D21" w:rsidRPr="00A857FB">
        <w:rPr>
          <w:b/>
          <w:bCs/>
          <w:sz w:val="18"/>
          <w:szCs w:val="18"/>
          <w:vertAlign w:val="superscript"/>
          <w:lang w:val="en-US"/>
        </w:rPr>
        <w:t>-1</w:t>
      </w:r>
      <w:r w:rsidR="00E97D21" w:rsidRPr="00A857FB">
        <w:rPr>
          <w:b/>
          <w:bCs/>
          <w:sz w:val="18"/>
          <w:szCs w:val="18"/>
          <w:lang w:val="en-US"/>
        </w:rPr>
        <w:t>] for the base case.</w:t>
      </w:r>
      <w:r>
        <w:rPr>
          <w:rFonts w:eastAsiaTheme="minorEastAsia" w:hint="eastAsia"/>
          <w:lang w:val="id-ID"/>
        </w:rPr>
        <w:t xml:space="preserve"> </w:t>
      </w:r>
    </w:p>
    <w:tbl>
      <w:tblPr>
        <w:tblStyle w:val="aff0"/>
        <w:tblW w:w="4536" w:type="dxa"/>
        <w:jc w:val="center"/>
        <w:tblLook w:val="04A0"/>
      </w:tblPr>
      <w:tblGrid>
        <w:gridCol w:w="1561"/>
        <w:gridCol w:w="1806"/>
        <w:gridCol w:w="1169"/>
      </w:tblGrid>
      <w:tr w:rsidR="00A857FB" w:rsidRPr="00A857FB" w:rsidTr="00A857FB">
        <w:trPr>
          <w:trHeight w:val="284"/>
          <w:jc w:val="center"/>
        </w:trPr>
        <w:tc>
          <w:tcPr>
            <w:tcW w:w="1561"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p>
        </w:tc>
        <w:tc>
          <w:tcPr>
            <w:tcW w:w="1806"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p>
        </w:tc>
        <w:tc>
          <w:tcPr>
            <w:tcW w:w="1169"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U values [Wm-2ºC-1]</w:t>
            </w:r>
          </w:p>
        </w:tc>
      </w:tr>
      <w:tr w:rsidR="00A857FB" w:rsidRPr="00A857FB" w:rsidTr="00A857FB">
        <w:trPr>
          <w:trHeight w:val="284"/>
          <w:jc w:val="center"/>
        </w:trPr>
        <w:tc>
          <w:tcPr>
            <w:tcW w:w="1561" w:type="dxa"/>
            <w:vMerge w:val="restart"/>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External envelope</w:t>
            </w:r>
          </w:p>
        </w:tc>
        <w:tc>
          <w:tcPr>
            <w:tcW w:w="1806"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Walls</w:t>
            </w:r>
          </w:p>
        </w:tc>
        <w:tc>
          <w:tcPr>
            <w:tcW w:w="1169"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1.8</w:t>
            </w:r>
          </w:p>
        </w:tc>
      </w:tr>
      <w:tr w:rsidR="00A857FB" w:rsidRPr="00A857FB" w:rsidTr="00A857FB">
        <w:trPr>
          <w:trHeight w:val="284"/>
          <w:jc w:val="center"/>
        </w:trPr>
        <w:tc>
          <w:tcPr>
            <w:tcW w:w="1561" w:type="dxa"/>
            <w:vMerge/>
          </w:tcPr>
          <w:p w:rsidR="00A857FB" w:rsidRPr="00A857FB" w:rsidRDefault="00A857FB" w:rsidP="00A857FB">
            <w:pPr>
              <w:pStyle w:val="text-2"/>
              <w:widowControl w:val="0"/>
              <w:snapToGrid w:val="0"/>
              <w:ind w:firstLineChars="0" w:firstLine="0"/>
              <w:rPr>
                <w:rFonts w:eastAsiaTheme="minorEastAsia" w:hint="eastAsia"/>
                <w:sz w:val="18"/>
                <w:szCs w:val="18"/>
                <w:lang w:val="id-ID"/>
              </w:rPr>
            </w:pPr>
          </w:p>
        </w:tc>
        <w:tc>
          <w:tcPr>
            <w:tcW w:w="1806"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Roof and floor</w:t>
            </w:r>
          </w:p>
        </w:tc>
        <w:tc>
          <w:tcPr>
            <w:tcW w:w="1169"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1.25</w:t>
            </w:r>
          </w:p>
        </w:tc>
      </w:tr>
      <w:tr w:rsidR="00A857FB" w:rsidRPr="00A857FB" w:rsidTr="00A857FB">
        <w:trPr>
          <w:trHeight w:val="284"/>
          <w:jc w:val="center"/>
        </w:trPr>
        <w:tc>
          <w:tcPr>
            <w:tcW w:w="1561" w:type="dxa"/>
            <w:vMerge w:val="restart"/>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Internal</w:t>
            </w:r>
            <w:r w:rsidRPr="00A857FB">
              <w:rPr>
                <w:rFonts w:eastAsiaTheme="minorEastAsia" w:hint="eastAsia"/>
                <w:sz w:val="18"/>
                <w:szCs w:val="18"/>
                <w:lang w:val="id-ID"/>
              </w:rPr>
              <w:t xml:space="preserve"> </w:t>
            </w:r>
            <w:r w:rsidRPr="00A857FB">
              <w:rPr>
                <w:rFonts w:eastAsiaTheme="minorEastAsia"/>
                <w:sz w:val="18"/>
                <w:szCs w:val="18"/>
                <w:lang w:val="id-ID"/>
              </w:rPr>
              <w:t>envelope</w:t>
            </w:r>
          </w:p>
        </w:tc>
        <w:tc>
          <w:tcPr>
            <w:tcW w:w="1806"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Walls</w:t>
            </w:r>
          </w:p>
        </w:tc>
        <w:tc>
          <w:tcPr>
            <w:tcW w:w="1169"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sz w:val="18"/>
                <w:szCs w:val="18"/>
                <w:lang w:val="en-US"/>
              </w:rPr>
              <w:t>2</w:t>
            </w:r>
          </w:p>
        </w:tc>
      </w:tr>
      <w:tr w:rsidR="00A857FB" w:rsidRPr="00A857FB" w:rsidTr="00A857FB">
        <w:trPr>
          <w:trHeight w:val="284"/>
          <w:jc w:val="center"/>
        </w:trPr>
        <w:tc>
          <w:tcPr>
            <w:tcW w:w="1561" w:type="dxa"/>
            <w:vMerge/>
          </w:tcPr>
          <w:p w:rsidR="00A857FB" w:rsidRPr="00A857FB" w:rsidRDefault="00A857FB" w:rsidP="00A857FB">
            <w:pPr>
              <w:pStyle w:val="text-2"/>
              <w:widowControl w:val="0"/>
              <w:snapToGrid w:val="0"/>
              <w:ind w:firstLineChars="0" w:firstLine="0"/>
              <w:rPr>
                <w:rFonts w:eastAsiaTheme="minorEastAsia" w:hint="eastAsia"/>
                <w:sz w:val="18"/>
                <w:szCs w:val="18"/>
                <w:lang w:val="id-ID"/>
              </w:rPr>
            </w:pPr>
          </w:p>
        </w:tc>
        <w:tc>
          <w:tcPr>
            <w:tcW w:w="1806"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rFonts w:eastAsiaTheme="minorEastAsia"/>
                <w:sz w:val="18"/>
                <w:szCs w:val="18"/>
                <w:lang w:val="id-ID"/>
              </w:rPr>
              <w:t>Roof and floor</w:t>
            </w:r>
          </w:p>
        </w:tc>
        <w:tc>
          <w:tcPr>
            <w:tcW w:w="1169" w:type="dxa"/>
          </w:tcPr>
          <w:p w:rsidR="00A857FB" w:rsidRPr="00A857FB" w:rsidRDefault="00A857FB" w:rsidP="00A857FB">
            <w:pPr>
              <w:pStyle w:val="text-2"/>
              <w:widowControl w:val="0"/>
              <w:snapToGrid w:val="0"/>
              <w:ind w:firstLineChars="0" w:firstLine="0"/>
              <w:rPr>
                <w:rFonts w:eastAsiaTheme="minorEastAsia" w:hint="eastAsia"/>
                <w:sz w:val="18"/>
                <w:szCs w:val="18"/>
                <w:lang w:val="id-ID"/>
              </w:rPr>
            </w:pPr>
            <w:r w:rsidRPr="00A857FB">
              <w:rPr>
                <w:sz w:val="18"/>
                <w:szCs w:val="18"/>
                <w:lang w:val="en-US"/>
              </w:rPr>
              <w:t>1.65</w:t>
            </w:r>
          </w:p>
        </w:tc>
      </w:tr>
    </w:tbl>
    <w:p w:rsidR="00A857FB" w:rsidRPr="00A857FB" w:rsidRDefault="00A857FB" w:rsidP="00A857FB">
      <w:pPr>
        <w:pStyle w:val="text-2"/>
        <w:snapToGrid w:val="0"/>
        <w:ind w:firstLineChars="0" w:firstLine="0"/>
        <w:rPr>
          <w:rFonts w:eastAsiaTheme="minorEastAsia" w:hint="eastAsia"/>
          <w:sz w:val="12"/>
          <w:szCs w:val="12"/>
          <w:lang w:val="id-ID"/>
        </w:rPr>
      </w:pPr>
    </w:p>
    <w:p w:rsidR="00E97D21" w:rsidRPr="003E1A72" w:rsidRDefault="00E97D21" w:rsidP="00A857FB">
      <w:pPr>
        <w:pStyle w:val="text-2"/>
        <w:ind w:firstLineChars="0" w:firstLine="0"/>
      </w:pPr>
      <w:r w:rsidRPr="003E1A72">
        <w:t>6.2.5 and TSOL, the results being displayed in Table 2. It is also shown the values of EEI as well as the emitted CO</w:t>
      </w:r>
      <w:r w:rsidRPr="003E1A72">
        <w:rPr>
          <w:vertAlign w:val="subscript"/>
        </w:rPr>
        <w:t>2</w:t>
      </w:r>
      <w:r w:rsidRPr="003E1A72">
        <w:t xml:space="preserve"> associated with the energy consumption.</w:t>
      </w:r>
    </w:p>
    <w:p w:rsidR="00E97D21" w:rsidRPr="003E1A72" w:rsidRDefault="00E97D21" w:rsidP="00F56531">
      <w:pPr>
        <w:pStyle w:val="text-2"/>
      </w:pPr>
      <w:r w:rsidRPr="003E1A72">
        <w:t>It must be noticed that the electric heating corresponds to the consumption of operation of heating systems, including pumps condensate, burner and control panel of the boilers. The gas heating corresponds to the consumption of boilers, with an efficiency of 83.3%, and cooling corresponds to the electrical consumption of chillers with a COP of 3.2. The ventilation represents the consumption of the air handling equipment, while the pumps corresponds to the consumption associated with all fluid pumping equipment.</w:t>
      </w:r>
    </w:p>
    <w:p w:rsidR="00E97D21" w:rsidRDefault="00E97D21" w:rsidP="00F56531">
      <w:pPr>
        <w:pStyle w:val="text-2"/>
        <w:rPr>
          <w:rFonts w:eastAsiaTheme="minorEastAsia" w:hint="eastAsia"/>
          <w:lang w:val="en-US"/>
        </w:rPr>
      </w:pPr>
      <w:r w:rsidRPr="003E1A72">
        <w:rPr>
          <w:lang w:val="en-US"/>
        </w:rPr>
        <w:t>The maximum thermal power loads for heating and cooling are respectively equal 1775.8 kW and 1920.1 kW. The values given above were obtained with a reference system composed of an electric air-to-air chiller (COP of 3.2) and a conventional boiler with an efficiency of 83.3%. It should be noted that the electric heating, represents the consumption of operation of heating systems, including pumps condensate, the burner and control panel of the boilers. The gas heating represents consumption of boilers and the cooling corresponds to the electrical consumption of chillers</w:t>
      </w:r>
      <w:r>
        <w:rPr>
          <w:rFonts w:eastAsiaTheme="minorEastAsia" w:hint="eastAsia"/>
          <w:lang w:val="en-US"/>
        </w:rPr>
        <w:t>.</w:t>
      </w:r>
    </w:p>
    <w:p w:rsidR="00E97D21" w:rsidRPr="003E1A72" w:rsidRDefault="00E97D21" w:rsidP="00F56531">
      <w:pPr>
        <w:pStyle w:val="text-2"/>
      </w:pPr>
      <w:r w:rsidRPr="003E1A72">
        <w:t xml:space="preserve">Is important to highlight that the </w:t>
      </w:r>
      <w:r w:rsidR="00F56531">
        <w:rPr>
          <w:rFonts w:eastAsiaTheme="minorEastAsia"/>
        </w:rPr>
        <w:t>“</w:t>
      </w:r>
      <w:r w:rsidRPr="003E1A72">
        <w:t>parameters</w:t>
      </w:r>
      <w:r w:rsidR="00F56531">
        <w:rPr>
          <w:rFonts w:eastAsiaTheme="minorEastAsia"/>
        </w:rPr>
        <w:t>”</w:t>
      </w:r>
      <w:r w:rsidRPr="003E1A72">
        <w:t xml:space="preserve"> which most contribute to the nominal consumption of primary energy are the lighting consumption and electrical equipment. Also, it is noted that the building presents an elevated energy consumption, due to the fact it is a large service building. However, even in the base case on predefined conditions, the building is already within the minimum required by RSECE [11].</w:t>
      </w:r>
    </w:p>
    <w:p w:rsidR="00E97D21" w:rsidRDefault="00E97D21" w:rsidP="00E97D21">
      <w:pPr>
        <w:pStyle w:val="text-2"/>
        <w:rPr>
          <w:rFonts w:eastAsiaTheme="minorEastAsia" w:hint="eastAsia"/>
          <w:lang w:val="en-US"/>
        </w:rPr>
      </w:pPr>
      <w:r w:rsidRPr="003E1A72">
        <w:rPr>
          <w:lang w:val="en-US"/>
        </w:rPr>
        <w:t xml:space="preserve">The annual energy bill and associated costs are shown in </w:t>
      </w:r>
      <w:r w:rsidRPr="00E97D21">
        <w:rPr>
          <w:highlight w:val="red"/>
          <w:lang w:val="en-US"/>
        </w:rPr>
        <w:t>Table 3</w:t>
      </w:r>
      <w:r w:rsidRPr="003E1A72">
        <w:rPr>
          <w:lang w:val="en-US"/>
        </w:rPr>
        <w:t>.</w:t>
      </w:r>
    </w:p>
    <w:p w:rsidR="00B2083D" w:rsidRPr="00B2083D" w:rsidRDefault="00B2083D" w:rsidP="00B2083D">
      <w:pPr>
        <w:pStyle w:val="text-2"/>
        <w:snapToGrid w:val="0"/>
        <w:ind w:firstLine="120"/>
        <w:rPr>
          <w:rFonts w:eastAsiaTheme="minorEastAsia" w:hint="eastAsia"/>
          <w:sz w:val="12"/>
          <w:szCs w:val="12"/>
          <w:lang w:val="en-US"/>
        </w:rPr>
      </w:pPr>
    </w:p>
    <w:p w:rsidR="00B2083D" w:rsidRDefault="00B2083D" w:rsidP="00E97D21">
      <w:pPr>
        <w:pStyle w:val="text-2"/>
        <w:rPr>
          <w:rFonts w:eastAsiaTheme="minorEastAsia"/>
          <w:lang w:val="en-US"/>
        </w:rPr>
        <w:sectPr w:rsidR="00B2083D" w:rsidSect="00E3235C">
          <w:headerReference w:type="even" r:id="rId15"/>
          <w:headerReference w:type="default" r:id="rId16"/>
          <w:footerReference w:type="even" r:id="rId17"/>
          <w:footerReference w:type="default" r:id="rId18"/>
          <w:headerReference w:type="first" r:id="rId19"/>
          <w:type w:val="continuous"/>
          <w:pgSz w:w="11907" w:h="16160"/>
          <w:pgMar w:top="1701" w:right="1134" w:bottom="1418" w:left="1134" w:header="1134" w:footer="1134" w:gutter="0"/>
          <w:cols w:num="2" w:space="425"/>
          <w:titlePg/>
          <w:docGrid w:type="lines" w:linePitch="312"/>
        </w:sectPr>
      </w:pPr>
    </w:p>
    <w:p w:rsidR="00B2083D" w:rsidRPr="00B2083D" w:rsidRDefault="00B2083D" w:rsidP="00B2083D">
      <w:pPr>
        <w:pStyle w:val="text-2"/>
        <w:ind w:firstLineChars="0" w:firstLine="0"/>
        <w:rPr>
          <w:rFonts w:eastAsiaTheme="minorEastAsia" w:hint="eastAsia"/>
          <w:b/>
          <w:bCs/>
          <w:sz w:val="18"/>
          <w:szCs w:val="18"/>
          <w:lang w:val="en-US"/>
        </w:rPr>
      </w:pPr>
      <w:r w:rsidRPr="00B2083D">
        <w:rPr>
          <w:b/>
          <w:bCs/>
          <w:sz w:val="18"/>
          <w:szCs w:val="18"/>
          <w:lang w:val="en-US"/>
        </w:rPr>
        <w:lastRenderedPageBreak/>
        <w:t>Table 2  Annual thermal needs of the hotel (base case).</w:t>
      </w:r>
    </w:p>
    <w:tbl>
      <w:tblPr>
        <w:tblStyle w:val="aff0"/>
        <w:tblW w:w="9639" w:type="dxa"/>
        <w:jc w:val="center"/>
        <w:tblLook w:val="04A0"/>
      </w:tblPr>
      <w:tblGrid>
        <w:gridCol w:w="951"/>
        <w:gridCol w:w="1116"/>
        <w:gridCol w:w="1596"/>
        <w:gridCol w:w="1413"/>
        <w:gridCol w:w="1619"/>
        <w:gridCol w:w="1628"/>
        <w:gridCol w:w="1316"/>
      </w:tblGrid>
      <w:tr w:rsidR="00B2083D" w:rsidRPr="00B2083D" w:rsidTr="00B2083D">
        <w:trPr>
          <w:trHeight w:val="284"/>
          <w:jc w:val="center"/>
        </w:trPr>
        <w:tc>
          <w:tcPr>
            <w:tcW w:w="3256" w:type="dxa"/>
            <w:gridSpan w:val="3"/>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vertAlign w:val="superscript"/>
                <w:lang w:val="en-US"/>
              </w:rPr>
            </w:pPr>
            <w:r w:rsidRPr="00B2083D">
              <w:rPr>
                <w:rFonts w:ascii="Times New Roman" w:hAnsi="Times New Roman"/>
                <w:sz w:val="18"/>
                <w:szCs w:val="18"/>
                <w:lang w:val="en-US"/>
              </w:rPr>
              <w:t>Useful thermal needs [kWh.year</w:t>
            </w:r>
            <w:r w:rsidRPr="00B2083D">
              <w:rPr>
                <w:rFonts w:ascii="Times New Roman" w:hAnsi="Times New Roman"/>
                <w:sz w:val="18"/>
                <w:szCs w:val="18"/>
                <w:vertAlign w:val="superscript"/>
                <w:lang w:val="en-US"/>
              </w:rPr>
              <w:t>.1</w:t>
            </w:r>
            <w:r w:rsidRPr="00B2083D">
              <w:rPr>
                <w:rFonts w:ascii="Times New Roman" w:hAnsi="Times New Roman"/>
                <w:sz w:val="18"/>
                <w:szCs w:val="18"/>
                <w:lang w:val="en-US"/>
              </w:rPr>
              <w:t>]</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Nominal primary thermal energy [kgep.year</w:t>
            </w:r>
            <w:r w:rsidRPr="00B2083D">
              <w:rPr>
                <w:rFonts w:ascii="Times New Roman" w:hAnsi="Times New Roman"/>
                <w:sz w:val="18"/>
                <w:szCs w:val="18"/>
                <w:vertAlign w:val="superscript"/>
                <w:lang w:val="en-US"/>
              </w:rPr>
              <w:t>-1</w:t>
            </w:r>
            <w:r w:rsidRPr="00B2083D">
              <w:rPr>
                <w:rFonts w:ascii="Times New Roman" w:hAnsi="Times New Roman"/>
                <w:sz w:val="18"/>
                <w:szCs w:val="18"/>
                <w:lang w:val="en-US"/>
              </w:rPr>
              <w:t>]</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EEI [kgep.m-</w:t>
            </w:r>
            <w:r w:rsidRPr="00B2083D">
              <w:rPr>
                <w:rFonts w:ascii="Times New Roman" w:hAnsi="Times New Roman"/>
                <w:sz w:val="18"/>
                <w:szCs w:val="18"/>
                <w:vertAlign w:val="superscript"/>
                <w:lang w:val="en-US"/>
              </w:rPr>
              <w:t>2</w:t>
            </w:r>
            <w:r w:rsidRPr="00B2083D">
              <w:rPr>
                <w:rFonts w:ascii="Times New Roman" w:hAnsi="Times New Roman"/>
                <w:sz w:val="18"/>
                <w:szCs w:val="18"/>
                <w:lang w:val="en-US"/>
              </w:rPr>
              <w:t>.year</w:t>
            </w:r>
            <w:r w:rsidRPr="00B2083D">
              <w:rPr>
                <w:rFonts w:ascii="Times New Roman" w:hAnsi="Times New Roman"/>
                <w:sz w:val="18"/>
                <w:szCs w:val="18"/>
                <w:vertAlign w:val="superscript"/>
                <w:lang w:val="en-US"/>
              </w:rPr>
              <w:t>-1</w:t>
            </w:r>
            <w:r w:rsidRPr="00B2083D">
              <w:rPr>
                <w:rFonts w:ascii="Times New Roman" w:hAnsi="Times New Roman"/>
                <w:sz w:val="18"/>
                <w:szCs w:val="18"/>
                <w:lang w:val="en-US"/>
              </w:rPr>
              <w:t>]</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CO</w:t>
            </w:r>
            <w:r w:rsidRPr="00B2083D">
              <w:rPr>
                <w:rFonts w:ascii="Times New Roman" w:hAnsi="Times New Roman"/>
                <w:sz w:val="18"/>
                <w:szCs w:val="18"/>
                <w:vertAlign w:val="subscript"/>
                <w:lang w:val="en-US"/>
              </w:rPr>
              <w:t>2</w:t>
            </w:r>
            <w:r w:rsidRPr="00B2083D">
              <w:rPr>
                <w:rFonts w:ascii="Times New Roman" w:hAnsi="Times New Roman"/>
                <w:sz w:val="18"/>
                <w:szCs w:val="18"/>
                <w:lang w:val="en-US"/>
              </w:rPr>
              <w:t xml:space="preserve"> emissions</w:t>
            </w:r>
          </w:p>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[tons CO</w:t>
            </w:r>
            <w:r w:rsidRPr="00B2083D">
              <w:rPr>
                <w:rFonts w:ascii="Times New Roman" w:hAnsi="Times New Roman"/>
                <w:sz w:val="18"/>
                <w:szCs w:val="18"/>
                <w:vertAlign w:val="subscript"/>
                <w:lang w:val="en-US"/>
              </w:rPr>
              <w:t>2</w:t>
            </w:r>
            <w:r w:rsidRPr="00B2083D">
              <w:rPr>
                <w:rFonts w:ascii="Times New Roman" w:hAnsi="Times New Roman"/>
                <w:sz w:val="18"/>
                <w:szCs w:val="18"/>
                <w:lang w:val="en-US"/>
              </w:rPr>
              <w:t>]</w:t>
            </w:r>
          </w:p>
        </w:tc>
      </w:tr>
      <w:tr w:rsidR="00B2083D" w:rsidRPr="00B2083D" w:rsidTr="00B2083D">
        <w:trPr>
          <w:trHeight w:val="284"/>
          <w:jc w:val="center"/>
        </w:trPr>
        <w:tc>
          <w:tcPr>
            <w:tcW w:w="846" w:type="dxa"/>
            <w:vMerge w:val="restart"/>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H&amp;C</w:t>
            </w:r>
          </w:p>
        </w:tc>
        <w:tc>
          <w:tcPr>
            <w:tcW w:w="992" w:type="dxa"/>
            <w:vMerge w:val="restart"/>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Heating</w:t>
            </w:r>
          </w:p>
        </w:tc>
        <w:tc>
          <w:tcPr>
            <w:tcW w:w="141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Electric</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19724</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5720</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0.27</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6.9</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992"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141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Gas</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246731</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21219</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1.0</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25.3</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Cooling</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521389</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151203</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5.19</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181.4</w:t>
            </w:r>
          </w:p>
        </w:tc>
      </w:tr>
      <w:tr w:rsidR="00B2083D" w:rsidRPr="00B2083D" w:rsidTr="00B2083D">
        <w:trPr>
          <w:trHeight w:val="284"/>
          <w:jc w:val="center"/>
        </w:trPr>
        <w:tc>
          <w:tcPr>
            <w:tcW w:w="846" w:type="dxa"/>
            <w:vMerge w:val="restart"/>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Others</w:t>
            </w: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Lighting</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1141168</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330939</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15.61</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397.1</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Electric equipment</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909071</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263631</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12.43</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316.4</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Gas equipment</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439081</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37761</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1.78</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45.3</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Ventilation</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498000</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144420</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5.56</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173.73</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Pumps</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238800</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69252</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2.67</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83.1</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Hydraulic equipment</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4729</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1371</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0.06</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1.6</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992" w:type="dxa"/>
            <w:vMerge w:val="restart"/>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SHW</w:t>
            </w:r>
          </w:p>
        </w:tc>
        <w:tc>
          <w:tcPr>
            <w:tcW w:w="141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Gas</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636318</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54723</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2.58</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65.7</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992"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141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Electric</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10143</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2941</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0.14</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3.5</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992" w:type="dxa"/>
            <w:vMerge w:val="restart"/>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SPH</w:t>
            </w:r>
          </w:p>
        </w:tc>
        <w:tc>
          <w:tcPr>
            <w:tcW w:w="141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Electric</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4840</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1404</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0.07</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1.7</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992"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141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Gas</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161678</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13904</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0.66</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16.7</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Mechanical equipment</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6572</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1906</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0.09</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2.3</w:t>
            </w:r>
          </w:p>
        </w:tc>
      </w:tr>
      <w:tr w:rsidR="00B2083D" w:rsidRPr="00B2083D" w:rsidTr="00B2083D">
        <w:trPr>
          <w:trHeight w:val="284"/>
          <w:jc w:val="center"/>
        </w:trPr>
        <w:tc>
          <w:tcPr>
            <w:tcW w:w="846" w:type="dxa"/>
            <w:vMerge/>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p>
        </w:tc>
        <w:tc>
          <w:tcPr>
            <w:tcW w:w="2410" w:type="dxa"/>
            <w:gridSpan w:val="2"/>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Total</w:t>
            </w:r>
          </w:p>
        </w:tc>
        <w:tc>
          <w:tcPr>
            <w:tcW w:w="1255"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4.84 [GWh .year</w:t>
            </w:r>
            <w:r w:rsidRPr="00B2083D">
              <w:rPr>
                <w:rFonts w:ascii="Times New Roman" w:hAnsi="Times New Roman"/>
                <w:sz w:val="18"/>
                <w:szCs w:val="18"/>
                <w:vertAlign w:val="superscript"/>
                <w:lang w:val="en-US"/>
              </w:rPr>
              <w:t>-1</w:t>
            </w:r>
            <w:r w:rsidRPr="00B2083D">
              <w:rPr>
                <w:rFonts w:ascii="Times New Roman" w:hAnsi="Times New Roman"/>
                <w:sz w:val="18"/>
                <w:szCs w:val="18"/>
                <w:lang w:val="en-US"/>
              </w:rPr>
              <w:t>]</w:t>
            </w:r>
          </w:p>
        </w:tc>
        <w:tc>
          <w:tcPr>
            <w:tcW w:w="1438"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1100</w:t>
            </w:r>
          </w:p>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[tep.year</w:t>
            </w:r>
            <w:r w:rsidRPr="00B2083D">
              <w:rPr>
                <w:rFonts w:ascii="Times New Roman" w:hAnsi="Times New Roman"/>
                <w:sz w:val="18"/>
                <w:szCs w:val="18"/>
                <w:vertAlign w:val="superscript"/>
                <w:lang w:val="en-US"/>
              </w:rPr>
              <w:t>-1</w:t>
            </w:r>
            <w:r w:rsidRPr="00B2083D">
              <w:rPr>
                <w:rFonts w:ascii="Times New Roman" w:hAnsi="Times New Roman"/>
                <w:sz w:val="18"/>
                <w:szCs w:val="18"/>
                <w:lang w:val="en-US"/>
              </w:rPr>
              <w:t>]</w:t>
            </w:r>
          </w:p>
        </w:tc>
        <w:tc>
          <w:tcPr>
            <w:tcW w:w="1376"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48.1</w:t>
            </w:r>
          </w:p>
        </w:tc>
        <w:tc>
          <w:tcPr>
            <w:tcW w:w="1169" w:type="dxa"/>
            <w:vAlign w:val="center"/>
          </w:tcPr>
          <w:p w:rsidR="00B2083D" w:rsidRPr="00B2083D" w:rsidRDefault="00B2083D" w:rsidP="00B2083D">
            <w:pPr>
              <w:pStyle w:val="aff5"/>
              <w:snapToGrid w:val="0"/>
              <w:spacing w:after="0" w:line="240" w:lineRule="auto"/>
              <w:ind w:left="0"/>
              <w:jc w:val="center"/>
              <w:rPr>
                <w:rFonts w:ascii="Times New Roman" w:hAnsi="Times New Roman"/>
                <w:sz w:val="18"/>
                <w:szCs w:val="18"/>
                <w:lang w:val="en-US"/>
              </w:rPr>
            </w:pPr>
            <w:r w:rsidRPr="00B2083D">
              <w:rPr>
                <w:rFonts w:ascii="Times New Roman" w:hAnsi="Times New Roman"/>
                <w:sz w:val="18"/>
                <w:szCs w:val="18"/>
                <w:lang w:val="en-US"/>
              </w:rPr>
              <w:t>1320.5</w:t>
            </w:r>
          </w:p>
        </w:tc>
      </w:tr>
    </w:tbl>
    <w:p w:rsidR="00B2083D" w:rsidRPr="00B2083D" w:rsidRDefault="00B2083D" w:rsidP="00B2083D">
      <w:pPr>
        <w:pStyle w:val="text-2"/>
        <w:snapToGrid w:val="0"/>
        <w:ind w:firstLine="120"/>
        <w:rPr>
          <w:rFonts w:eastAsiaTheme="minorEastAsia" w:hint="eastAsia"/>
          <w:sz w:val="12"/>
          <w:szCs w:val="12"/>
          <w:lang w:val="en-US"/>
        </w:rPr>
      </w:pPr>
    </w:p>
    <w:p w:rsidR="00B2083D" w:rsidRDefault="00B2083D" w:rsidP="00E97D21">
      <w:pPr>
        <w:pStyle w:val="Headline-1"/>
        <w:rPr>
          <w:lang w:eastAsia="zh-CN"/>
        </w:rPr>
        <w:sectPr w:rsidR="00B2083D" w:rsidSect="00B2083D">
          <w:type w:val="continuous"/>
          <w:pgSz w:w="11907" w:h="16160"/>
          <w:pgMar w:top="1701" w:right="1134" w:bottom="1418" w:left="1134" w:header="1134" w:footer="1134" w:gutter="0"/>
          <w:cols w:space="425"/>
          <w:titlePg/>
          <w:docGrid w:type="lines" w:linePitch="312"/>
        </w:sectPr>
      </w:pPr>
    </w:p>
    <w:p w:rsidR="00B2083D" w:rsidRPr="00B2083D" w:rsidRDefault="00B2083D" w:rsidP="00B2083D">
      <w:pPr>
        <w:jc w:val="both"/>
        <w:rPr>
          <w:rFonts w:hint="eastAsia"/>
          <w:b/>
          <w:bCs/>
          <w:sz w:val="18"/>
          <w:szCs w:val="18"/>
          <w:lang w:eastAsia="zh-CN"/>
        </w:rPr>
      </w:pPr>
      <w:r w:rsidRPr="00B2083D">
        <w:rPr>
          <w:b/>
          <w:bCs/>
          <w:sz w:val="18"/>
          <w:szCs w:val="18"/>
        </w:rPr>
        <w:lastRenderedPageBreak/>
        <w:t>Table 3  The annual energy billing and associated costs</w:t>
      </w:r>
      <w:r w:rsidRPr="00B2083D">
        <w:rPr>
          <w:rFonts w:hint="eastAsia"/>
          <w:b/>
          <w:bCs/>
          <w:sz w:val="18"/>
          <w:szCs w:val="18"/>
          <w:lang w:eastAsia="zh-CN"/>
        </w:rPr>
        <w:t>.</w:t>
      </w:r>
    </w:p>
    <w:tbl>
      <w:tblPr>
        <w:tblStyle w:val="aff0"/>
        <w:tblW w:w="4536" w:type="dxa"/>
        <w:jc w:val="center"/>
        <w:tblLook w:val="04A0"/>
      </w:tblPr>
      <w:tblGrid>
        <w:gridCol w:w="1116"/>
        <w:gridCol w:w="2067"/>
        <w:gridCol w:w="1353"/>
      </w:tblGrid>
      <w:tr w:rsidR="00B2083D" w:rsidRPr="00B2083D" w:rsidTr="00B2083D">
        <w:trPr>
          <w:trHeight w:val="284"/>
          <w:jc w:val="center"/>
        </w:trPr>
        <w:tc>
          <w:tcPr>
            <w:tcW w:w="1281" w:type="dxa"/>
          </w:tcPr>
          <w:p w:rsidR="00B2083D" w:rsidRPr="00B2083D" w:rsidRDefault="00B2083D" w:rsidP="00B2083D">
            <w:pPr>
              <w:snapToGrid w:val="0"/>
              <w:rPr>
                <w:sz w:val="18"/>
                <w:szCs w:val="18"/>
              </w:rPr>
            </w:pPr>
          </w:p>
        </w:tc>
        <w:tc>
          <w:tcPr>
            <w:tcW w:w="3118" w:type="dxa"/>
          </w:tcPr>
          <w:p w:rsidR="00B2083D" w:rsidRPr="00B2083D" w:rsidRDefault="00B2083D" w:rsidP="00B2083D">
            <w:pPr>
              <w:snapToGrid w:val="0"/>
              <w:rPr>
                <w:sz w:val="18"/>
                <w:szCs w:val="18"/>
              </w:rPr>
            </w:pPr>
            <w:r w:rsidRPr="00B2083D">
              <w:rPr>
                <w:sz w:val="18"/>
                <w:szCs w:val="18"/>
              </w:rPr>
              <w:t>Total thermal load [MWh/year]</w:t>
            </w:r>
          </w:p>
        </w:tc>
        <w:tc>
          <w:tcPr>
            <w:tcW w:w="1980" w:type="dxa"/>
          </w:tcPr>
          <w:p w:rsidR="00B2083D" w:rsidRPr="00B2083D" w:rsidRDefault="00B2083D" w:rsidP="00B2083D">
            <w:pPr>
              <w:snapToGrid w:val="0"/>
              <w:rPr>
                <w:sz w:val="18"/>
                <w:szCs w:val="18"/>
              </w:rPr>
            </w:pPr>
            <w:r w:rsidRPr="00B2083D">
              <w:rPr>
                <w:sz w:val="18"/>
                <w:szCs w:val="18"/>
              </w:rPr>
              <w:t>Fuel Bill [€/year]</w:t>
            </w:r>
          </w:p>
        </w:tc>
      </w:tr>
      <w:tr w:rsidR="00B2083D" w:rsidRPr="00B2083D" w:rsidTr="00B2083D">
        <w:trPr>
          <w:trHeight w:val="284"/>
          <w:jc w:val="center"/>
        </w:trPr>
        <w:tc>
          <w:tcPr>
            <w:tcW w:w="1281" w:type="dxa"/>
          </w:tcPr>
          <w:p w:rsidR="00B2083D" w:rsidRPr="00B2083D" w:rsidRDefault="00B2083D" w:rsidP="00B2083D">
            <w:pPr>
              <w:snapToGrid w:val="0"/>
              <w:rPr>
                <w:sz w:val="18"/>
                <w:szCs w:val="18"/>
              </w:rPr>
            </w:pPr>
            <w:r w:rsidRPr="00B2083D">
              <w:rPr>
                <w:sz w:val="18"/>
                <w:szCs w:val="18"/>
              </w:rPr>
              <w:t>Electricity</w:t>
            </w:r>
          </w:p>
        </w:tc>
        <w:tc>
          <w:tcPr>
            <w:tcW w:w="3118" w:type="dxa"/>
          </w:tcPr>
          <w:p w:rsidR="00B2083D" w:rsidRPr="00B2083D" w:rsidRDefault="00B2083D" w:rsidP="00B2083D">
            <w:pPr>
              <w:snapToGrid w:val="0"/>
              <w:rPr>
                <w:sz w:val="18"/>
                <w:szCs w:val="18"/>
              </w:rPr>
            </w:pPr>
            <w:r w:rsidRPr="00B2083D">
              <w:rPr>
                <w:sz w:val="18"/>
                <w:szCs w:val="18"/>
              </w:rPr>
              <w:t>3354.43</w:t>
            </w:r>
          </w:p>
        </w:tc>
        <w:tc>
          <w:tcPr>
            <w:tcW w:w="1980" w:type="dxa"/>
          </w:tcPr>
          <w:p w:rsidR="00B2083D" w:rsidRPr="00B2083D" w:rsidRDefault="00B2083D" w:rsidP="00B2083D">
            <w:pPr>
              <w:snapToGrid w:val="0"/>
              <w:rPr>
                <w:sz w:val="18"/>
                <w:szCs w:val="18"/>
              </w:rPr>
            </w:pPr>
            <w:r w:rsidRPr="00B2083D">
              <w:rPr>
                <w:sz w:val="18"/>
                <w:szCs w:val="18"/>
              </w:rPr>
              <w:t>275890</w:t>
            </w:r>
          </w:p>
        </w:tc>
      </w:tr>
      <w:tr w:rsidR="00B2083D" w:rsidRPr="00B2083D" w:rsidTr="00B2083D">
        <w:trPr>
          <w:trHeight w:val="284"/>
          <w:jc w:val="center"/>
        </w:trPr>
        <w:tc>
          <w:tcPr>
            <w:tcW w:w="1281" w:type="dxa"/>
          </w:tcPr>
          <w:p w:rsidR="00B2083D" w:rsidRPr="00B2083D" w:rsidRDefault="00B2083D" w:rsidP="00B2083D">
            <w:pPr>
              <w:snapToGrid w:val="0"/>
              <w:rPr>
                <w:sz w:val="18"/>
                <w:szCs w:val="18"/>
              </w:rPr>
            </w:pPr>
            <w:r w:rsidRPr="00B2083D">
              <w:rPr>
                <w:sz w:val="18"/>
                <w:szCs w:val="18"/>
              </w:rPr>
              <w:t>Gas</w:t>
            </w:r>
          </w:p>
        </w:tc>
        <w:tc>
          <w:tcPr>
            <w:tcW w:w="3118" w:type="dxa"/>
          </w:tcPr>
          <w:p w:rsidR="00B2083D" w:rsidRPr="00B2083D" w:rsidRDefault="00B2083D" w:rsidP="00B2083D">
            <w:pPr>
              <w:snapToGrid w:val="0"/>
              <w:rPr>
                <w:sz w:val="18"/>
                <w:szCs w:val="18"/>
              </w:rPr>
            </w:pPr>
            <w:r w:rsidRPr="00B2083D">
              <w:rPr>
                <w:sz w:val="18"/>
                <w:szCs w:val="18"/>
              </w:rPr>
              <w:t>1483.81</w:t>
            </w:r>
          </w:p>
        </w:tc>
        <w:tc>
          <w:tcPr>
            <w:tcW w:w="1980" w:type="dxa"/>
          </w:tcPr>
          <w:p w:rsidR="00B2083D" w:rsidRPr="00B2083D" w:rsidRDefault="00B2083D" w:rsidP="00B2083D">
            <w:pPr>
              <w:snapToGrid w:val="0"/>
              <w:rPr>
                <w:sz w:val="18"/>
                <w:szCs w:val="18"/>
              </w:rPr>
            </w:pPr>
            <w:r w:rsidRPr="00B2083D">
              <w:rPr>
                <w:sz w:val="18"/>
                <w:szCs w:val="18"/>
              </w:rPr>
              <w:t>46148</w:t>
            </w:r>
          </w:p>
        </w:tc>
      </w:tr>
      <w:tr w:rsidR="00B2083D" w:rsidRPr="00B2083D" w:rsidTr="00B2083D">
        <w:trPr>
          <w:trHeight w:val="284"/>
          <w:jc w:val="center"/>
        </w:trPr>
        <w:tc>
          <w:tcPr>
            <w:tcW w:w="1281" w:type="dxa"/>
          </w:tcPr>
          <w:p w:rsidR="00B2083D" w:rsidRPr="00B2083D" w:rsidRDefault="00B2083D" w:rsidP="00B2083D">
            <w:pPr>
              <w:snapToGrid w:val="0"/>
              <w:rPr>
                <w:sz w:val="18"/>
                <w:szCs w:val="18"/>
              </w:rPr>
            </w:pPr>
            <w:r w:rsidRPr="00B2083D">
              <w:rPr>
                <w:sz w:val="18"/>
                <w:szCs w:val="18"/>
              </w:rPr>
              <w:t>Total</w:t>
            </w:r>
          </w:p>
        </w:tc>
        <w:tc>
          <w:tcPr>
            <w:tcW w:w="3118" w:type="dxa"/>
          </w:tcPr>
          <w:p w:rsidR="00B2083D" w:rsidRPr="00B2083D" w:rsidRDefault="00B2083D" w:rsidP="00B2083D">
            <w:pPr>
              <w:snapToGrid w:val="0"/>
              <w:rPr>
                <w:sz w:val="18"/>
                <w:szCs w:val="18"/>
              </w:rPr>
            </w:pPr>
            <w:r w:rsidRPr="00B2083D">
              <w:rPr>
                <w:sz w:val="18"/>
                <w:szCs w:val="18"/>
              </w:rPr>
              <w:t>4838</w:t>
            </w:r>
          </w:p>
        </w:tc>
        <w:tc>
          <w:tcPr>
            <w:tcW w:w="1980" w:type="dxa"/>
          </w:tcPr>
          <w:p w:rsidR="00B2083D" w:rsidRPr="00B2083D" w:rsidRDefault="00B2083D" w:rsidP="00B2083D">
            <w:pPr>
              <w:snapToGrid w:val="0"/>
              <w:rPr>
                <w:sz w:val="18"/>
                <w:szCs w:val="18"/>
              </w:rPr>
            </w:pPr>
            <w:r w:rsidRPr="00B2083D">
              <w:rPr>
                <w:sz w:val="18"/>
                <w:szCs w:val="18"/>
              </w:rPr>
              <w:t>322038</w:t>
            </w:r>
          </w:p>
        </w:tc>
      </w:tr>
    </w:tbl>
    <w:p w:rsidR="00E97D21" w:rsidRPr="002B08FC" w:rsidRDefault="00E97D21" w:rsidP="00E97D21">
      <w:pPr>
        <w:pStyle w:val="Headline-1"/>
      </w:pPr>
      <w:r>
        <w:rPr>
          <w:rFonts w:hint="eastAsia"/>
          <w:lang w:eastAsia="zh-CN"/>
        </w:rPr>
        <w:t xml:space="preserve">4. </w:t>
      </w:r>
      <w:r w:rsidRPr="00FB13E5">
        <w:t>Improved passive solutions</w:t>
      </w:r>
    </w:p>
    <w:p w:rsidR="00E97D21" w:rsidRPr="002B08FC" w:rsidRDefault="00E97D21" w:rsidP="00E97D21">
      <w:pPr>
        <w:pStyle w:val="Headlines-2"/>
        <w:spacing w:before="156" w:after="156"/>
      </w:pPr>
      <w:r w:rsidRPr="002B08FC">
        <w:t>4</w:t>
      </w:r>
      <w:r>
        <w:t xml:space="preserve">.1 </w:t>
      </w:r>
      <w:r w:rsidRPr="002B08FC">
        <w:t xml:space="preserve">Opaque </w:t>
      </w:r>
      <w:r>
        <w:rPr>
          <w:rFonts w:hint="eastAsia"/>
        </w:rPr>
        <w:t>E</w:t>
      </w:r>
      <w:r w:rsidRPr="002B08FC">
        <w:t>nvelope</w:t>
      </w:r>
    </w:p>
    <w:p w:rsidR="00E97D21" w:rsidRPr="002B08FC" w:rsidRDefault="00E97D21" w:rsidP="00E97D21">
      <w:pPr>
        <w:pStyle w:val="text-2"/>
      </w:pPr>
      <w:r w:rsidRPr="002B08FC">
        <w:t>The interior space of the building is physically separated from the outside by an envelope that is composed of opaque (walls, roof, and floor) and a transparent part (glazing). Note that for this first analysis, to the glazed envelope have been given the maximum permissible values of solar factor and heat transfer, set out in RCCTE [12]. In order to improve the efficiency of the building, regarding the opaque envelope, four alternatives were proposed. These ones are only due to changes of the U value of the internal and external opaque envelope due to the changes in thermal insulation.</w:t>
      </w:r>
      <w:r>
        <w:rPr>
          <w:rFonts w:hint="eastAsia"/>
        </w:rPr>
        <w:t xml:space="preserve"> </w:t>
      </w:r>
      <w:r w:rsidRPr="002B08FC">
        <w:t>The alternatives are (always according to RCCTE):</w:t>
      </w:r>
    </w:p>
    <w:p w:rsidR="00E97D21" w:rsidRPr="002B08FC" w:rsidRDefault="00E97D21" w:rsidP="00E97D21">
      <w:pPr>
        <w:pStyle w:val="text-2"/>
      </w:pPr>
      <w:r w:rsidRPr="002B08FC">
        <w:lastRenderedPageBreak/>
        <w:t>Alternative 1 (ALT 1): the U values are the reference ones;</w:t>
      </w:r>
    </w:p>
    <w:p w:rsidR="00E97D21" w:rsidRPr="002B08FC" w:rsidRDefault="00E97D21" w:rsidP="00E97D21">
      <w:pPr>
        <w:pStyle w:val="text-2"/>
      </w:pPr>
      <w:r w:rsidRPr="002B08FC">
        <w:t>Alternative 2 (ALT 2): 25% improvement on the reference values;</w:t>
      </w:r>
    </w:p>
    <w:p w:rsidR="00E97D21" w:rsidRPr="002B08FC" w:rsidRDefault="00E97D21" w:rsidP="00E97D21">
      <w:pPr>
        <w:pStyle w:val="text-2"/>
      </w:pPr>
      <w:r w:rsidRPr="002B08FC">
        <w:t>Alternative 3 (ALT 3): 50% improvement on the reference values;</w:t>
      </w:r>
    </w:p>
    <w:p w:rsidR="00E97D21" w:rsidRPr="002B08FC" w:rsidRDefault="00E97D21" w:rsidP="00E97D21">
      <w:pPr>
        <w:pStyle w:val="text-2"/>
      </w:pPr>
      <w:r w:rsidRPr="002B08FC">
        <w:t>Alternative 4 (ALT 4): 75% improvement on the reference values;</w:t>
      </w:r>
    </w:p>
    <w:p w:rsidR="00E97D21" w:rsidRDefault="00E97D21" w:rsidP="00E97D21">
      <w:pPr>
        <w:pStyle w:val="text-2"/>
        <w:rPr>
          <w:rFonts w:eastAsiaTheme="minorEastAsia" w:hint="eastAsia"/>
          <w:lang w:val="en-US"/>
        </w:rPr>
      </w:pPr>
      <w:r w:rsidRPr="002B08FC">
        <w:rPr>
          <w:lang w:val="en-US"/>
        </w:rPr>
        <w:t xml:space="preserve">The alternatives are shown in </w:t>
      </w:r>
      <w:r w:rsidRPr="00E97D21">
        <w:rPr>
          <w:highlight w:val="red"/>
          <w:lang w:val="en-US"/>
        </w:rPr>
        <w:t>Table 4</w:t>
      </w:r>
      <w:r w:rsidRPr="002B08FC">
        <w:rPr>
          <w:lang w:val="en-US"/>
        </w:rPr>
        <w:t>.</w:t>
      </w:r>
    </w:p>
    <w:p w:rsidR="00E97D21" w:rsidRPr="002B08FC" w:rsidRDefault="00E97D21" w:rsidP="00E97D21">
      <w:pPr>
        <w:pStyle w:val="text-2"/>
      </w:pPr>
      <w:r w:rsidRPr="002B08FC">
        <w:t>The values in parenthesis correspond to the reduction of heat transfer coefficients between the alternatives. From this analysis it is emphasized that the greatest reduction occurs between the base case and alternative one.</w:t>
      </w:r>
    </w:p>
    <w:p w:rsidR="00E97D21" w:rsidRDefault="00E97D21" w:rsidP="00E97D21">
      <w:pPr>
        <w:pStyle w:val="text-2"/>
        <w:rPr>
          <w:rFonts w:eastAsiaTheme="minorEastAsia" w:hint="eastAsia"/>
          <w:lang w:val="en-US"/>
        </w:rPr>
      </w:pPr>
      <w:r w:rsidRPr="002B08FC">
        <w:rPr>
          <w:lang w:val="en-US"/>
        </w:rPr>
        <w:t xml:space="preserve">The optimization process of the opaque envelope, goes through the analysis of its contribution to the energy consumption of the building. </w:t>
      </w:r>
      <w:r w:rsidRPr="00E97D21">
        <w:rPr>
          <w:highlight w:val="red"/>
          <w:lang w:val="en-US"/>
        </w:rPr>
        <w:t>Table 5</w:t>
      </w:r>
      <w:r w:rsidRPr="002B08FC">
        <w:rPr>
          <w:lang w:val="en-US"/>
        </w:rPr>
        <w:t xml:space="preserve"> shows the annual energy consumption of the hotel regarding the alternatives for the opaque envelope as well as the values of EEI and the emitted CO</w:t>
      </w:r>
      <w:r w:rsidRPr="002B08FC">
        <w:rPr>
          <w:vertAlign w:val="subscript"/>
          <w:lang w:val="en-US"/>
        </w:rPr>
        <w:t>2</w:t>
      </w:r>
      <w:r w:rsidRPr="002B08FC">
        <w:rPr>
          <w:lang w:val="en-US"/>
        </w:rPr>
        <w:t xml:space="preserve"> associated with the energy consumption. There are also shown the total costs and the payback time of all alternatives.</w:t>
      </w:r>
    </w:p>
    <w:p w:rsidR="00F61944" w:rsidRDefault="00F61944" w:rsidP="00F61944">
      <w:pPr>
        <w:pStyle w:val="text-2"/>
        <w:rPr>
          <w:rFonts w:eastAsiaTheme="minorEastAsia" w:hint="eastAsia"/>
        </w:rPr>
      </w:pPr>
    </w:p>
    <w:p w:rsidR="00F61944" w:rsidRDefault="00F61944" w:rsidP="00F61944">
      <w:pPr>
        <w:pStyle w:val="text-2"/>
        <w:rPr>
          <w:rFonts w:eastAsiaTheme="minorEastAsia" w:hint="eastAsia"/>
        </w:rPr>
      </w:pPr>
    </w:p>
    <w:p w:rsidR="00F61944" w:rsidRDefault="00F61944" w:rsidP="00F61944">
      <w:pPr>
        <w:pStyle w:val="text-2"/>
        <w:rPr>
          <w:rFonts w:eastAsiaTheme="minorEastAsia"/>
        </w:rPr>
        <w:sectPr w:rsidR="00F61944" w:rsidSect="00E3235C">
          <w:type w:val="continuous"/>
          <w:pgSz w:w="11907" w:h="16160"/>
          <w:pgMar w:top="1701" w:right="1134" w:bottom="1418" w:left="1134" w:header="1134" w:footer="1134" w:gutter="0"/>
          <w:cols w:num="2" w:space="425"/>
          <w:titlePg/>
          <w:docGrid w:type="lines" w:linePitch="312"/>
        </w:sectPr>
      </w:pPr>
    </w:p>
    <w:p w:rsidR="00F61944" w:rsidRPr="00F61944" w:rsidRDefault="00F61944" w:rsidP="00F61944">
      <w:pPr>
        <w:jc w:val="both"/>
        <w:rPr>
          <w:b/>
          <w:bCs/>
          <w:sz w:val="18"/>
          <w:szCs w:val="18"/>
        </w:rPr>
      </w:pPr>
      <w:r w:rsidRPr="00F61944">
        <w:rPr>
          <w:b/>
          <w:bCs/>
          <w:sz w:val="18"/>
          <w:szCs w:val="18"/>
        </w:rPr>
        <w:lastRenderedPageBreak/>
        <w:t>Table 4  U values [Wm</w:t>
      </w:r>
      <w:r w:rsidRPr="00F61944">
        <w:rPr>
          <w:b/>
          <w:bCs/>
          <w:sz w:val="18"/>
          <w:szCs w:val="18"/>
          <w:vertAlign w:val="superscript"/>
        </w:rPr>
        <w:t>-2</w:t>
      </w:r>
      <w:r w:rsidRPr="00F61944">
        <w:rPr>
          <w:b/>
          <w:bCs/>
          <w:sz w:val="18"/>
          <w:szCs w:val="18"/>
        </w:rPr>
        <w:t>ºC</w:t>
      </w:r>
      <w:r w:rsidRPr="00F61944">
        <w:rPr>
          <w:b/>
          <w:bCs/>
          <w:sz w:val="18"/>
          <w:szCs w:val="18"/>
          <w:vertAlign w:val="superscript"/>
        </w:rPr>
        <w:t>-1</w:t>
      </w:r>
      <w:r w:rsidRPr="00F61944">
        <w:rPr>
          <w:b/>
          <w:bCs/>
          <w:sz w:val="18"/>
          <w:szCs w:val="18"/>
        </w:rPr>
        <w:t>] for the base case and for four different alternatives.</w:t>
      </w:r>
    </w:p>
    <w:tbl>
      <w:tblPr>
        <w:tblStyle w:val="aff0"/>
        <w:tblW w:w="9639" w:type="dxa"/>
        <w:jc w:val="center"/>
        <w:tblLook w:val="04A0"/>
      </w:tblPr>
      <w:tblGrid>
        <w:gridCol w:w="1244"/>
        <w:gridCol w:w="1289"/>
        <w:gridCol w:w="845"/>
        <w:gridCol w:w="1354"/>
        <w:gridCol w:w="1693"/>
        <w:gridCol w:w="1523"/>
        <w:gridCol w:w="1691"/>
      </w:tblGrid>
      <w:tr w:rsidR="00F61944" w:rsidRPr="00F61944" w:rsidTr="00F61944">
        <w:trPr>
          <w:trHeight w:val="284"/>
          <w:jc w:val="center"/>
        </w:trPr>
        <w:tc>
          <w:tcPr>
            <w:tcW w:w="2122" w:type="dxa"/>
            <w:gridSpan w:val="2"/>
          </w:tcPr>
          <w:p w:rsidR="00F61944" w:rsidRPr="00F61944" w:rsidRDefault="00F61944" w:rsidP="00F61944">
            <w:pPr>
              <w:snapToGrid w:val="0"/>
              <w:jc w:val="both"/>
              <w:rPr>
                <w:sz w:val="18"/>
                <w:szCs w:val="18"/>
              </w:rPr>
            </w:pPr>
          </w:p>
        </w:tc>
        <w:tc>
          <w:tcPr>
            <w:tcW w:w="708" w:type="dxa"/>
          </w:tcPr>
          <w:p w:rsidR="00F61944" w:rsidRPr="00F61944" w:rsidRDefault="00F61944" w:rsidP="00F61944">
            <w:pPr>
              <w:snapToGrid w:val="0"/>
              <w:rPr>
                <w:sz w:val="18"/>
                <w:szCs w:val="18"/>
              </w:rPr>
            </w:pPr>
            <w:r w:rsidRPr="00F61944">
              <w:rPr>
                <w:sz w:val="18"/>
                <w:szCs w:val="18"/>
              </w:rPr>
              <w:t>Base case</w:t>
            </w:r>
          </w:p>
        </w:tc>
        <w:tc>
          <w:tcPr>
            <w:tcW w:w="1134" w:type="dxa"/>
            <w:vAlign w:val="center"/>
          </w:tcPr>
          <w:p w:rsidR="00F61944" w:rsidRPr="00F61944" w:rsidRDefault="00F61944" w:rsidP="00F61944">
            <w:pPr>
              <w:snapToGrid w:val="0"/>
              <w:rPr>
                <w:sz w:val="18"/>
                <w:szCs w:val="18"/>
              </w:rPr>
            </w:pPr>
            <w:r w:rsidRPr="00F61944">
              <w:rPr>
                <w:sz w:val="18"/>
                <w:szCs w:val="18"/>
              </w:rPr>
              <w:t>Alt 1</w:t>
            </w:r>
          </w:p>
        </w:tc>
        <w:tc>
          <w:tcPr>
            <w:tcW w:w="1418" w:type="dxa"/>
            <w:vAlign w:val="center"/>
          </w:tcPr>
          <w:p w:rsidR="00F61944" w:rsidRPr="00F61944" w:rsidRDefault="00F61944" w:rsidP="00F61944">
            <w:pPr>
              <w:snapToGrid w:val="0"/>
              <w:rPr>
                <w:sz w:val="18"/>
                <w:szCs w:val="18"/>
              </w:rPr>
            </w:pPr>
            <w:r w:rsidRPr="00F61944">
              <w:rPr>
                <w:sz w:val="18"/>
                <w:szCs w:val="18"/>
              </w:rPr>
              <w:t>Alt 2</w:t>
            </w:r>
          </w:p>
        </w:tc>
        <w:tc>
          <w:tcPr>
            <w:tcW w:w="1276" w:type="dxa"/>
            <w:vAlign w:val="center"/>
          </w:tcPr>
          <w:p w:rsidR="00F61944" w:rsidRPr="00F61944" w:rsidRDefault="00F61944" w:rsidP="00F61944">
            <w:pPr>
              <w:snapToGrid w:val="0"/>
              <w:rPr>
                <w:sz w:val="18"/>
                <w:szCs w:val="18"/>
              </w:rPr>
            </w:pPr>
            <w:r w:rsidRPr="00F61944">
              <w:rPr>
                <w:sz w:val="18"/>
                <w:szCs w:val="18"/>
              </w:rPr>
              <w:t>Alt 3</w:t>
            </w:r>
          </w:p>
        </w:tc>
        <w:tc>
          <w:tcPr>
            <w:tcW w:w="1417" w:type="dxa"/>
            <w:vAlign w:val="center"/>
          </w:tcPr>
          <w:p w:rsidR="00F61944" w:rsidRPr="00F61944" w:rsidRDefault="00F61944" w:rsidP="00F61944">
            <w:pPr>
              <w:snapToGrid w:val="0"/>
              <w:rPr>
                <w:sz w:val="18"/>
                <w:szCs w:val="18"/>
              </w:rPr>
            </w:pPr>
            <w:r w:rsidRPr="00F61944">
              <w:rPr>
                <w:sz w:val="18"/>
                <w:szCs w:val="18"/>
              </w:rPr>
              <w:t>Alt 4</w:t>
            </w:r>
          </w:p>
        </w:tc>
      </w:tr>
      <w:tr w:rsidR="00F61944" w:rsidRPr="00F61944" w:rsidTr="00F61944">
        <w:trPr>
          <w:trHeight w:val="284"/>
          <w:jc w:val="center"/>
        </w:trPr>
        <w:tc>
          <w:tcPr>
            <w:tcW w:w="1042" w:type="dxa"/>
            <w:vMerge w:val="restart"/>
            <w:vAlign w:val="center"/>
          </w:tcPr>
          <w:p w:rsidR="00F61944" w:rsidRPr="00F61944" w:rsidRDefault="00F61944" w:rsidP="00F61944">
            <w:pPr>
              <w:snapToGrid w:val="0"/>
              <w:rPr>
                <w:sz w:val="18"/>
                <w:szCs w:val="18"/>
              </w:rPr>
            </w:pPr>
            <w:r w:rsidRPr="00F61944">
              <w:rPr>
                <w:sz w:val="18"/>
                <w:szCs w:val="18"/>
              </w:rPr>
              <w:t>External envelope</w:t>
            </w:r>
          </w:p>
        </w:tc>
        <w:tc>
          <w:tcPr>
            <w:tcW w:w="1080" w:type="dxa"/>
          </w:tcPr>
          <w:p w:rsidR="00F61944" w:rsidRPr="00F61944" w:rsidRDefault="00F61944" w:rsidP="00F61944">
            <w:pPr>
              <w:snapToGrid w:val="0"/>
              <w:rPr>
                <w:sz w:val="18"/>
                <w:szCs w:val="18"/>
              </w:rPr>
            </w:pPr>
            <w:r w:rsidRPr="00F61944">
              <w:rPr>
                <w:sz w:val="18"/>
                <w:szCs w:val="18"/>
              </w:rPr>
              <w:t>Walls</w:t>
            </w:r>
          </w:p>
        </w:tc>
        <w:tc>
          <w:tcPr>
            <w:tcW w:w="708" w:type="dxa"/>
          </w:tcPr>
          <w:p w:rsidR="00F61944" w:rsidRPr="00F61944" w:rsidRDefault="00F61944" w:rsidP="00F61944">
            <w:pPr>
              <w:snapToGrid w:val="0"/>
              <w:rPr>
                <w:sz w:val="18"/>
                <w:szCs w:val="18"/>
              </w:rPr>
            </w:pPr>
            <w:r w:rsidRPr="00F61944">
              <w:rPr>
                <w:sz w:val="18"/>
                <w:szCs w:val="18"/>
              </w:rPr>
              <w:t>1.8</w:t>
            </w:r>
          </w:p>
        </w:tc>
        <w:tc>
          <w:tcPr>
            <w:tcW w:w="1134" w:type="dxa"/>
          </w:tcPr>
          <w:p w:rsidR="00F61944" w:rsidRPr="00F61944" w:rsidRDefault="00F61944" w:rsidP="00F61944">
            <w:pPr>
              <w:snapToGrid w:val="0"/>
              <w:rPr>
                <w:sz w:val="18"/>
                <w:szCs w:val="18"/>
              </w:rPr>
            </w:pPr>
            <w:r w:rsidRPr="00F61944">
              <w:rPr>
                <w:sz w:val="18"/>
                <w:szCs w:val="18"/>
              </w:rPr>
              <w:t>0.7 (61%)</w:t>
            </w:r>
          </w:p>
        </w:tc>
        <w:tc>
          <w:tcPr>
            <w:tcW w:w="1418" w:type="dxa"/>
          </w:tcPr>
          <w:p w:rsidR="00F61944" w:rsidRPr="00F61944" w:rsidRDefault="00F61944" w:rsidP="00F61944">
            <w:pPr>
              <w:snapToGrid w:val="0"/>
              <w:rPr>
                <w:sz w:val="18"/>
                <w:szCs w:val="18"/>
              </w:rPr>
            </w:pPr>
            <w:r w:rsidRPr="00F61944">
              <w:rPr>
                <w:sz w:val="18"/>
                <w:szCs w:val="18"/>
              </w:rPr>
              <w:t>0.525 (25%)</w:t>
            </w:r>
          </w:p>
        </w:tc>
        <w:tc>
          <w:tcPr>
            <w:tcW w:w="1276" w:type="dxa"/>
          </w:tcPr>
          <w:p w:rsidR="00F61944" w:rsidRPr="00F61944" w:rsidRDefault="00F61944" w:rsidP="00F61944">
            <w:pPr>
              <w:snapToGrid w:val="0"/>
              <w:rPr>
                <w:sz w:val="18"/>
                <w:szCs w:val="18"/>
              </w:rPr>
            </w:pPr>
            <w:r w:rsidRPr="00F61944">
              <w:rPr>
                <w:sz w:val="18"/>
                <w:szCs w:val="18"/>
              </w:rPr>
              <w:t>0.35 (33%)</w:t>
            </w:r>
          </w:p>
        </w:tc>
        <w:tc>
          <w:tcPr>
            <w:tcW w:w="1417" w:type="dxa"/>
          </w:tcPr>
          <w:p w:rsidR="00F61944" w:rsidRPr="00F61944" w:rsidRDefault="00F61944" w:rsidP="00F61944">
            <w:pPr>
              <w:snapToGrid w:val="0"/>
              <w:rPr>
                <w:sz w:val="18"/>
                <w:szCs w:val="18"/>
              </w:rPr>
            </w:pPr>
            <w:r w:rsidRPr="00F61944">
              <w:rPr>
                <w:sz w:val="18"/>
                <w:szCs w:val="18"/>
              </w:rPr>
              <w:t>0.175 (50%)</w:t>
            </w:r>
          </w:p>
        </w:tc>
      </w:tr>
      <w:tr w:rsidR="00F61944" w:rsidRPr="00F61944" w:rsidTr="00F61944">
        <w:trPr>
          <w:trHeight w:val="284"/>
          <w:jc w:val="center"/>
        </w:trPr>
        <w:tc>
          <w:tcPr>
            <w:tcW w:w="1042" w:type="dxa"/>
            <w:vMerge/>
          </w:tcPr>
          <w:p w:rsidR="00F61944" w:rsidRPr="00F61944" w:rsidRDefault="00F61944" w:rsidP="00F61944">
            <w:pPr>
              <w:snapToGrid w:val="0"/>
              <w:jc w:val="both"/>
              <w:rPr>
                <w:sz w:val="18"/>
                <w:szCs w:val="18"/>
              </w:rPr>
            </w:pPr>
          </w:p>
        </w:tc>
        <w:tc>
          <w:tcPr>
            <w:tcW w:w="1080" w:type="dxa"/>
          </w:tcPr>
          <w:p w:rsidR="00F61944" w:rsidRPr="00F61944" w:rsidRDefault="00F61944" w:rsidP="00F61944">
            <w:pPr>
              <w:snapToGrid w:val="0"/>
              <w:rPr>
                <w:sz w:val="18"/>
                <w:szCs w:val="18"/>
              </w:rPr>
            </w:pPr>
            <w:r w:rsidRPr="00F61944">
              <w:rPr>
                <w:sz w:val="18"/>
                <w:szCs w:val="18"/>
              </w:rPr>
              <w:t>Roof and floor</w:t>
            </w:r>
          </w:p>
        </w:tc>
        <w:tc>
          <w:tcPr>
            <w:tcW w:w="708" w:type="dxa"/>
            <w:vAlign w:val="center"/>
          </w:tcPr>
          <w:p w:rsidR="00F61944" w:rsidRPr="00F61944" w:rsidRDefault="00F61944" w:rsidP="00F61944">
            <w:pPr>
              <w:snapToGrid w:val="0"/>
              <w:rPr>
                <w:sz w:val="18"/>
                <w:szCs w:val="18"/>
              </w:rPr>
            </w:pPr>
            <w:r w:rsidRPr="00F61944">
              <w:rPr>
                <w:sz w:val="18"/>
                <w:szCs w:val="18"/>
              </w:rPr>
              <w:t>1.25</w:t>
            </w:r>
          </w:p>
        </w:tc>
        <w:tc>
          <w:tcPr>
            <w:tcW w:w="1134" w:type="dxa"/>
            <w:vAlign w:val="center"/>
          </w:tcPr>
          <w:p w:rsidR="00F61944" w:rsidRPr="00F61944" w:rsidRDefault="00F61944" w:rsidP="00F61944">
            <w:pPr>
              <w:snapToGrid w:val="0"/>
              <w:rPr>
                <w:sz w:val="18"/>
                <w:szCs w:val="18"/>
              </w:rPr>
            </w:pPr>
            <w:r w:rsidRPr="00F61944">
              <w:rPr>
                <w:sz w:val="18"/>
                <w:szCs w:val="18"/>
              </w:rPr>
              <w:t>0.5 (60%)</w:t>
            </w:r>
          </w:p>
        </w:tc>
        <w:tc>
          <w:tcPr>
            <w:tcW w:w="1418" w:type="dxa"/>
            <w:vAlign w:val="center"/>
          </w:tcPr>
          <w:p w:rsidR="00F61944" w:rsidRPr="00F61944" w:rsidRDefault="00F61944" w:rsidP="00F61944">
            <w:pPr>
              <w:snapToGrid w:val="0"/>
              <w:rPr>
                <w:sz w:val="18"/>
                <w:szCs w:val="18"/>
              </w:rPr>
            </w:pPr>
            <w:r w:rsidRPr="00F61944">
              <w:rPr>
                <w:sz w:val="18"/>
                <w:szCs w:val="18"/>
              </w:rPr>
              <w:t>0.375 (25%)</w:t>
            </w:r>
          </w:p>
        </w:tc>
        <w:tc>
          <w:tcPr>
            <w:tcW w:w="1276" w:type="dxa"/>
            <w:vAlign w:val="center"/>
          </w:tcPr>
          <w:p w:rsidR="00F61944" w:rsidRPr="00F61944" w:rsidRDefault="00F61944" w:rsidP="00F61944">
            <w:pPr>
              <w:snapToGrid w:val="0"/>
              <w:rPr>
                <w:sz w:val="18"/>
                <w:szCs w:val="18"/>
              </w:rPr>
            </w:pPr>
            <w:r w:rsidRPr="00F61944">
              <w:rPr>
                <w:sz w:val="18"/>
                <w:szCs w:val="18"/>
              </w:rPr>
              <w:t>0.25 (33%)</w:t>
            </w:r>
          </w:p>
        </w:tc>
        <w:tc>
          <w:tcPr>
            <w:tcW w:w="1417" w:type="dxa"/>
            <w:vAlign w:val="center"/>
          </w:tcPr>
          <w:p w:rsidR="00F61944" w:rsidRPr="00F61944" w:rsidRDefault="00F61944" w:rsidP="00F61944">
            <w:pPr>
              <w:snapToGrid w:val="0"/>
              <w:rPr>
                <w:sz w:val="18"/>
                <w:szCs w:val="18"/>
              </w:rPr>
            </w:pPr>
            <w:r w:rsidRPr="00F61944">
              <w:rPr>
                <w:sz w:val="18"/>
                <w:szCs w:val="18"/>
              </w:rPr>
              <w:t>0.125 (50%)</w:t>
            </w:r>
          </w:p>
        </w:tc>
      </w:tr>
      <w:tr w:rsidR="00F61944" w:rsidRPr="00F61944" w:rsidTr="00F61944">
        <w:trPr>
          <w:trHeight w:val="284"/>
          <w:jc w:val="center"/>
        </w:trPr>
        <w:tc>
          <w:tcPr>
            <w:tcW w:w="1042" w:type="dxa"/>
            <w:vMerge w:val="restart"/>
            <w:vAlign w:val="center"/>
          </w:tcPr>
          <w:p w:rsidR="00F61944" w:rsidRPr="00F61944" w:rsidRDefault="00F61944" w:rsidP="00F61944">
            <w:pPr>
              <w:snapToGrid w:val="0"/>
              <w:rPr>
                <w:sz w:val="18"/>
                <w:szCs w:val="18"/>
              </w:rPr>
            </w:pPr>
            <w:r w:rsidRPr="00F61944">
              <w:rPr>
                <w:sz w:val="18"/>
                <w:szCs w:val="18"/>
              </w:rPr>
              <w:t>Internal</w:t>
            </w:r>
          </w:p>
          <w:p w:rsidR="00F61944" w:rsidRPr="00F61944" w:rsidRDefault="00F61944" w:rsidP="00F61944">
            <w:pPr>
              <w:snapToGrid w:val="0"/>
              <w:rPr>
                <w:sz w:val="18"/>
                <w:szCs w:val="18"/>
              </w:rPr>
            </w:pPr>
            <w:r w:rsidRPr="00F61944">
              <w:rPr>
                <w:sz w:val="18"/>
                <w:szCs w:val="18"/>
              </w:rPr>
              <w:t>envelope</w:t>
            </w:r>
          </w:p>
        </w:tc>
        <w:tc>
          <w:tcPr>
            <w:tcW w:w="1080" w:type="dxa"/>
          </w:tcPr>
          <w:p w:rsidR="00F61944" w:rsidRPr="00F61944" w:rsidRDefault="00F61944" w:rsidP="00F61944">
            <w:pPr>
              <w:snapToGrid w:val="0"/>
              <w:rPr>
                <w:sz w:val="18"/>
                <w:szCs w:val="18"/>
              </w:rPr>
            </w:pPr>
            <w:r w:rsidRPr="00F61944">
              <w:rPr>
                <w:sz w:val="18"/>
                <w:szCs w:val="18"/>
              </w:rPr>
              <w:t>Walls</w:t>
            </w:r>
          </w:p>
        </w:tc>
        <w:tc>
          <w:tcPr>
            <w:tcW w:w="708" w:type="dxa"/>
          </w:tcPr>
          <w:p w:rsidR="00F61944" w:rsidRPr="00F61944" w:rsidRDefault="00F61944" w:rsidP="00F61944">
            <w:pPr>
              <w:snapToGrid w:val="0"/>
              <w:rPr>
                <w:sz w:val="18"/>
                <w:szCs w:val="18"/>
              </w:rPr>
            </w:pPr>
            <w:r w:rsidRPr="00F61944">
              <w:rPr>
                <w:sz w:val="18"/>
                <w:szCs w:val="18"/>
              </w:rPr>
              <w:t>2</w:t>
            </w:r>
          </w:p>
        </w:tc>
        <w:tc>
          <w:tcPr>
            <w:tcW w:w="1134" w:type="dxa"/>
          </w:tcPr>
          <w:p w:rsidR="00F61944" w:rsidRPr="00F61944" w:rsidRDefault="00F61944" w:rsidP="00F61944">
            <w:pPr>
              <w:snapToGrid w:val="0"/>
              <w:rPr>
                <w:sz w:val="18"/>
                <w:szCs w:val="18"/>
              </w:rPr>
            </w:pPr>
            <w:r w:rsidRPr="00F61944">
              <w:rPr>
                <w:sz w:val="18"/>
                <w:szCs w:val="18"/>
              </w:rPr>
              <w:t>1.4 (30%)</w:t>
            </w:r>
          </w:p>
        </w:tc>
        <w:tc>
          <w:tcPr>
            <w:tcW w:w="1418" w:type="dxa"/>
          </w:tcPr>
          <w:p w:rsidR="00F61944" w:rsidRPr="00F61944" w:rsidRDefault="00F61944" w:rsidP="00F61944">
            <w:pPr>
              <w:snapToGrid w:val="0"/>
              <w:rPr>
                <w:sz w:val="18"/>
                <w:szCs w:val="18"/>
              </w:rPr>
            </w:pPr>
            <w:r w:rsidRPr="00F61944">
              <w:rPr>
                <w:sz w:val="18"/>
                <w:szCs w:val="18"/>
              </w:rPr>
              <w:t>1.05 (25%)</w:t>
            </w:r>
          </w:p>
        </w:tc>
        <w:tc>
          <w:tcPr>
            <w:tcW w:w="1276" w:type="dxa"/>
          </w:tcPr>
          <w:p w:rsidR="00F61944" w:rsidRPr="00F61944" w:rsidRDefault="00F61944" w:rsidP="00F61944">
            <w:pPr>
              <w:snapToGrid w:val="0"/>
              <w:rPr>
                <w:sz w:val="18"/>
                <w:szCs w:val="18"/>
              </w:rPr>
            </w:pPr>
            <w:r w:rsidRPr="00F61944">
              <w:rPr>
                <w:sz w:val="18"/>
                <w:szCs w:val="18"/>
              </w:rPr>
              <w:t>0.7 (33%)</w:t>
            </w:r>
          </w:p>
        </w:tc>
        <w:tc>
          <w:tcPr>
            <w:tcW w:w="1417" w:type="dxa"/>
          </w:tcPr>
          <w:p w:rsidR="00F61944" w:rsidRPr="00F61944" w:rsidRDefault="00F61944" w:rsidP="00F61944">
            <w:pPr>
              <w:snapToGrid w:val="0"/>
              <w:rPr>
                <w:sz w:val="18"/>
                <w:szCs w:val="18"/>
              </w:rPr>
            </w:pPr>
            <w:r w:rsidRPr="00F61944">
              <w:rPr>
                <w:sz w:val="18"/>
                <w:szCs w:val="18"/>
              </w:rPr>
              <w:t>0.35 (50%)</w:t>
            </w:r>
          </w:p>
        </w:tc>
      </w:tr>
      <w:tr w:rsidR="00F61944" w:rsidRPr="00F61944" w:rsidTr="00F61944">
        <w:trPr>
          <w:trHeight w:val="284"/>
          <w:jc w:val="center"/>
        </w:trPr>
        <w:tc>
          <w:tcPr>
            <w:tcW w:w="1042" w:type="dxa"/>
            <w:vMerge/>
          </w:tcPr>
          <w:p w:rsidR="00F61944" w:rsidRPr="00F61944" w:rsidRDefault="00F61944" w:rsidP="00F61944">
            <w:pPr>
              <w:snapToGrid w:val="0"/>
              <w:jc w:val="both"/>
              <w:rPr>
                <w:sz w:val="18"/>
                <w:szCs w:val="18"/>
              </w:rPr>
            </w:pPr>
          </w:p>
        </w:tc>
        <w:tc>
          <w:tcPr>
            <w:tcW w:w="1080" w:type="dxa"/>
          </w:tcPr>
          <w:p w:rsidR="00F61944" w:rsidRPr="00F61944" w:rsidRDefault="00F61944" w:rsidP="00F61944">
            <w:pPr>
              <w:snapToGrid w:val="0"/>
              <w:rPr>
                <w:sz w:val="18"/>
                <w:szCs w:val="18"/>
              </w:rPr>
            </w:pPr>
            <w:r w:rsidRPr="00F61944">
              <w:rPr>
                <w:sz w:val="18"/>
                <w:szCs w:val="18"/>
              </w:rPr>
              <w:t>Roof and floor</w:t>
            </w:r>
          </w:p>
        </w:tc>
        <w:tc>
          <w:tcPr>
            <w:tcW w:w="708" w:type="dxa"/>
            <w:vAlign w:val="center"/>
          </w:tcPr>
          <w:p w:rsidR="00F61944" w:rsidRPr="00F61944" w:rsidRDefault="00F61944" w:rsidP="00F61944">
            <w:pPr>
              <w:snapToGrid w:val="0"/>
              <w:rPr>
                <w:sz w:val="18"/>
                <w:szCs w:val="18"/>
              </w:rPr>
            </w:pPr>
            <w:r w:rsidRPr="00F61944">
              <w:rPr>
                <w:sz w:val="18"/>
                <w:szCs w:val="18"/>
              </w:rPr>
              <w:t>1.65</w:t>
            </w:r>
          </w:p>
        </w:tc>
        <w:tc>
          <w:tcPr>
            <w:tcW w:w="1134" w:type="dxa"/>
            <w:vAlign w:val="center"/>
          </w:tcPr>
          <w:p w:rsidR="00F61944" w:rsidRPr="00F61944" w:rsidRDefault="00F61944" w:rsidP="00F61944">
            <w:pPr>
              <w:snapToGrid w:val="0"/>
              <w:rPr>
                <w:sz w:val="18"/>
                <w:szCs w:val="18"/>
              </w:rPr>
            </w:pPr>
            <w:r w:rsidRPr="00F61944">
              <w:rPr>
                <w:sz w:val="18"/>
                <w:szCs w:val="18"/>
              </w:rPr>
              <w:t>1 (39%)</w:t>
            </w:r>
          </w:p>
        </w:tc>
        <w:tc>
          <w:tcPr>
            <w:tcW w:w="1418" w:type="dxa"/>
            <w:vAlign w:val="center"/>
          </w:tcPr>
          <w:p w:rsidR="00F61944" w:rsidRPr="00F61944" w:rsidRDefault="00F61944" w:rsidP="00F61944">
            <w:pPr>
              <w:snapToGrid w:val="0"/>
              <w:rPr>
                <w:sz w:val="18"/>
                <w:szCs w:val="18"/>
              </w:rPr>
            </w:pPr>
            <w:r w:rsidRPr="00F61944">
              <w:rPr>
                <w:sz w:val="18"/>
                <w:szCs w:val="18"/>
              </w:rPr>
              <w:t>0.75 (25%)</w:t>
            </w:r>
          </w:p>
        </w:tc>
        <w:tc>
          <w:tcPr>
            <w:tcW w:w="1276" w:type="dxa"/>
            <w:vAlign w:val="center"/>
          </w:tcPr>
          <w:p w:rsidR="00F61944" w:rsidRPr="00F61944" w:rsidRDefault="00F61944" w:rsidP="00F61944">
            <w:pPr>
              <w:snapToGrid w:val="0"/>
              <w:rPr>
                <w:sz w:val="18"/>
                <w:szCs w:val="18"/>
              </w:rPr>
            </w:pPr>
            <w:r w:rsidRPr="00F61944">
              <w:rPr>
                <w:sz w:val="18"/>
                <w:szCs w:val="18"/>
              </w:rPr>
              <w:t>0.5 (33%)</w:t>
            </w:r>
          </w:p>
        </w:tc>
        <w:tc>
          <w:tcPr>
            <w:tcW w:w="1417" w:type="dxa"/>
            <w:vAlign w:val="center"/>
          </w:tcPr>
          <w:p w:rsidR="00F61944" w:rsidRPr="00F61944" w:rsidRDefault="00F61944" w:rsidP="00F61944">
            <w:pPr>
              <w:snapToGrid w:val="0"/>
              <w:rPr>
                <w:sz w:val="18"/>
                <w:szCs w:val="18"/>
              </w:rPr>
            </w:pPr>
            <w:r w:rsidRPr="00F61944">
              <w:rPr>
                <w:sz w:val="18"/>
                <w:szCs w:val="18"/>
              </w:rPr>
              <w:t>0.25 (50%)</w:t>
            </w:r>
          </w:p>
        </w:tc>
      </w:tr>
    </w:tbl>
    <w:p w:rsidR="00F61944" w:rsidRPr="00F61944" w:rsidRDefault="00F61944" w:rsidP="00F61944">
      <w:pPr>
        <w:pStyle w:val="text-2"/>
        <w:snapToGrid w:val="0"/>
        <w:ind w:firstLine="120"/>
        <w:rPr>
          <w:rFonts w:eastAsiaTheme="minorEastAsia" w:hint="eastAsia"/>
          <w:sz w:val="12"/>
          <w:szCs w:val="12"/>
        </w:rPr>
      </w:pPr>
    </w:p>
    <w:p w:rsidR="00F61944" w:rsidRPr="00F61944" w:rsidRDefault="00F61944" w:rsidP="00F61944">
      <w:pPr>
        <w:jc w:val="both"/>
        <w:rPr>
          <w:b/>
          <w:bCs/>
          <w:color w:val="FF0000"/>
          <w:sz w:val="18"/>
          <w:szCs w:val="18"/>
        </w:rPr>
      </w:pPr>
      <w:r w:rsidRPr="00F61944">
        <w:rPr>
          <w:b/>
          <w:bCs/>
          <w:sz w:val="18"/>
          <w:szCs w:val="18"/>
        </w:rPr>
        <w:t>Table 5  Annual thermal needs of the hotel: base case simulation and alternatives for the opaque envelope.</w:t>
      </w:r>
    </w:p>
    <w:tbl>
      <w:tblPr>
        <w:tblStyle w:val="aff0"/>
        <w:tblW w:w="9639" w:type="dxa"/>
        <w:jc w:val="center"/>
        <w:tblLayout w:type="fixed"/>
        <w:tblLook w:val="04A0"/>
      </w:tblPr>
      <w:tblGrid>
        <w:gridCol w:w="1139"/>
        <w:gridCol w:w="1144"/>
        <w:gridCol w:w="1308"/>
        <w:gridCol w:w="980"/>
        <w:gridCol w:w="1130"/>
        <w:gridCol w:w="995"/>
        <w:gridCol w:w="1144"/>
        <w:gridCol w:w="1799"/>
      </w:tblGrid>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p>
        </w:tc>
        <w:tc>
          <w:tcPr>
            <w:tcW w:w="1134" w:type="dxa"/>
            <w:vAlign w:val="center"/>
          </w:tcPr>
          <w:p w:rsidR="00F61944" w:rsidRPr="00F61944" w:rsidRDefault="00F61944" w:rsidP="00F61944">
            <w:pPr>
              <w:snapToGrid w:val="0"/>
              <w:rPr>
                <w:sz w:val="18"/>
                <w:szCs w:val="18"/>
              </w:rPr>
            </w:pPr>
            <w:r w:rsidRPr="00F61944">
              <w:rPr>
                <w:sz w:val="18"/>
                <w:szCs w:val="18"/>
              </w:rPr>
              <w:t>Base case</w:t>
            </w:r>
          </w:p>
        </w:tc>
        <w:tc>
          <w:tcPr>
            <w:tcW w:w="850" w:type="dxa"/>
            <w:vAlign w:val="center"/>
          </w:tcPr>
          <w:p w:rsidR="00F61944" w:rsidRPr="00F61944" w:rsidRDefault="00F61944" w:rsidP="00F61944">
            <w:pPr>
              <w:snapToGrid w:val="0"/>
              <w:rPr>
                <w:sz w:val="18"/>
                <w:szCs w:val="18"/>
              </w:rPr>
            </w:pPr>
            <w:r w:rsidRPr="00F61944">
              <w:rPr>
                <w:sz w:val="18"/>
                <w:szCs w:val="18"/>
              </w:rPr>
              <w:t>Alt 1</w:t>
            </w:r>
          </w:p>
        </w:tc>
        <w:tc>
          <w:tcPr>
            <w:tcW w:w="980" w:type="dxa"/>
            <w:vAlign w:val="center"/>
          </w:tcPr>
          <w:p w:rsidR="00F61944" w:rsidRPr="00F61944" w:rsidRDefault="00F61944" w:rsidP="00F61944">
            <w:pPr>
              <w:snapToGrid w:val="0"/>
              <w:rPr>
                <w:sz w:val="18"/>
                <w:szCs w:val="18"/>
              </w:rPr>
            </w:pPr>
            <w:r w:rsidRPr="00F61944">
              <w:rPr>
                <w:sz w:val="18"/>
                <w:szCs w:val="18"/>
              </w:rPr>
              <w:t>Alt 2</w:t>
            </w:r>
          </w:p>
        </w:tc>
        <w:tc>
          <w:tcPr>
            <w:tcW w:w="863" w:type="dxa"/>
            <w:vAlign w:val="center"/>
          </w:tcPr>
          <w:p w:rsidR="00F61944" w:rsidRPr="00F61944" w:rsidRDefault="00F61944" w:rsidP="00F61944">
            <w:pPr>
              <w:snapToGrid w:val="0"/>
              <w:rPr>
                <w:sz w:val="18"/>
                <w:szCs w:val="18"/>
              </w:rPr>
            </w:pPr>
            <w:r w:rsidRPr="00F61944">
              <w:rPr>
                <w:sz w:val="18"/>
                <w:szCs w:val="18"/>
              </w:rPr>
              <w:t>Alt 3</w:t>
            </w:r>
          </w:p>
        </w:tc>
        <w:tc>
          <w:tcPr>
            <w:tcW w:w="992" w:type="dxa"/>
            <w:vAlign w:val="center"/>
          </w:tcPr>
          <w:p w:rsidR="00F61944" w:rsidRPr="00F61944" w:rsidRDefault="00F61944" w:rsidP="00F61944">
            <w:pPr>
              <w:snapToGrid w:val="0"/>
              <w:rPr>
                <w:sz w:val="18"/>
                <w:szCs w:val="18"/>
              </w:rPr>
            </w:pPr>
            <w:r w:rsidRPr="00F61944">
              <w:rPr>
                <w:sz w:val="18"/>
                <w:szCs w:val="18"/>
              </w:rPr>
              <w:t>Alt 4</w:t>
            </w:r>
          </w:p>
        </w:tc>
        <w:tc>
          <w:tcPr>
            <w:tcW w:w="1560" w:type="dxa"/>
            <w:vAlign w:val="center"/>
          </w:tcPr>
          <w:p w:rsidR="00F61944" w:rsidRPr="00F61944" w:rsidRDefault="00F61944" w:rsidP="00F61944">
            <w:pPr>
              <w:snapToGrid w:val="0"/>
              <w:rPr>
                <w:sz w:val="18"/>
                <w:szCs w:val="18"/>
              </w:rPr>
            </w:pPr>
          </w:p>
        </w:tc>
      </w:tr>
      <w:tr w:rsidR="00F61944" w:rsidRPr="00F61944" w:rsidTr="00F61944">
        <w:trPr>
          <w:trHeight w:val="284"/>
          <w:jc w:val="center"/>
        </w:trPr>
        <w:tc>
          <w:tcPr>
            <w:tcW w:w="988" w:type="dxa"/>
            <w:vMerge w:val="restart"/>
            <w:vAlign w:val="center"/>
          </w:tcPr>
          <w:p w:rsidR="00F61944" w:rsidRPr="00F61944" w:rsidRDefault="00F61944" w:rsidP="00F61944">
            <w:pPr>
              <w:snapToGrid w:val="0"/>
              <w:rPr>
                <w:sz w:val="18"/>
                <w:szCs w:val="18"/>
              </w:rPr>
            </w:pPr>
            <w:r w:rsidRPr="00F61944">
              <w:rPr>
                <w:sz w:val="18"/>
                <w:szCs w:val="18"/>
              </w:rPr>
              <w:t>Heating</w:t>
            </w:r>
          </w:p>
        </w:tc>
        <w:tc>
          <w:tcPr>
            <w:tcW w:w="992" w:type="dxa"/>
            <w:vAlign w:val="center"/>
          </w:tcPr>
          <w:p w:rsidR="00F61944" w:rsidRPr="00F61944" w:rsidRDefault="00F61944" w:rsidP="00F61944">
            <w:pPr>
              <w:snapToGrid w:val="0"/>
              <w:rPr>
                <w:sz w:val="18"/>
                <w:szCs w:val="18"/>
              </w:rPr>
            </w:pPr>
            <w:r w:rsidRPr="00F61944">
              <w:rPr>
                <w:sz w:val="18"/>
                <w:szCs w:val="18"/>
              </w:rPr>
              <w:t>Electric</w:t>
            </w:r>
          </w:p>
        </w:tc>
        <w:tc>
          <w:tcPr>
            <w:tcW w:w="1134" w:type="dxa"/>
            <w:vAlign w:val="center"/>
          </w:tcPr>
          <w:p w:rsidR="00F61944" w:rsidRPr="00F61944" w:rsidRDefault="00F61944" w:rsidP="00F61944">
            <w:pPr>
              <w:snapToGrid w:val="0"/>
              <w:rPr>
                <w:sz w:val="18"/>
                <w:szCs w:val="18"/>
              </w:rPr>
            </w:pPr>
            <w:r w:rsidRPr="00F61944">
              <w:rPr>
                <w:sz w:val="18"/>
                <w:szCs w:val="18"/>
              </w:rPr>
              <w:t>0.27</w:t>
            </w:r>
          </w:p>
        </w:tc>
        <w:tc>
          <w:tcPr>
            <w:tcW w:w="850" w:type="dxa"/>
            <w:vAlign w:val="center"/>
          </w:tcPr>
          <w:p w:rsidR="00F61944" w:rsidRPr="00F61944" w:rsidRDefault="00F61944" w:rsidP="00F61944">
            <w:pPr>
              <w:snapToGrid w:val="0"/>
              <w:rPr>
                <w:sz w:val="18"/>
                <w:szCs w:val="18"/>
              </w:rPr>
            </w:pPr>
            <w:r w:rsidRPr="00F61944">
              <w:rPr>
                <w:sz w:val="18"/>
                <w:szCs w:val="18"/>
              </w:rPr>
              <w:t>0.25</w:t>
            </w:r>
          </w:p>
        </w:tc>
        <w:tc>
          <w:tcPr>
            <w:tcW w:w="980" w:type="dxa"/>
            <w:vAlign w:val="center"/>
          </w:tcPr>
          <w:p w:rsidR="00F61944" w:rsidRPr="00F61944" w:rsidRDefault="00F61944" w:rsidP="00F61944">
            <w:pPr>
              <w:snapToGrid w:val="0"/>
              <w:rPr>
                <w:sz w:val="18"/>
                <w:szCs w:val="18"/>
              </w:rPr>
            </w:pPr>
            <w:r w:rsidRPr="00F61944">
              <w:rPr>
                <w:sz w:val="18"/>
                <w:szCs w:val="18"/>
              </w:rPr>
              <w:t>0.24</w:t>
            </w:r>
          </w:p>
        </w:tc>
        <w:tc>
          <w:tcPr>
            <w:tcW w:w="863" w:type="dxa"/>
            <w:vAlign w:val="center"/>
          </w:tcPr>
          <w:p w:rsidR="00F61944" w:rsidRPr="00F61944" w:rsidRDefault="00F61944" w:rsidP="00F61944">
            <w:pPr>
              <w:snapToGrid w:val="0"/>
              <w:rPr>
                <w:sz w:val="18"/>
                <w:szCs w:val="18"/>
              </w:rPr>
            </w:pPr>
            <w:r w:rsidRPr="00F61944">
              <w:rPr>
                <w:sz w:val="18"/>
                <w:szCs w:val="18"/>
              </w:rPr>
              <w:t>0.22</w:t>
            </w:r>
          </w:p>
        </w:tc>
        <w:tc>
          <w:tcPr>
            <w:tcW w:w="992" w:type="dxa"/>
            <w:vAlign w:val="center"/>
          </w:tcPr>
          <w:p w:rsidR="00F61944" w:rsidRPr="00F61944" w:rsidRDefault="00F61944" w:rsidP="00F61944">
            <w:pPr>
              <w:snapToGrid w:val="0"/>
              <w:rPr>
                <w:sz w:val="18"/>
                <w:szCs w:val="18"/>
              </w:rPr>
            </w:pPr>
            <w:r w:rsidRPr="00F61944">
              <w:rPr>
                <w:sz w:val="18"/>
                <w:szCs w:val="18"/>
              </w:rPr>
              <w:t>0.22</w:t>
            </w:r>
          </w:p>
        </w:tc>
        <w:tc>
          <w:tcPr>
            <w:tcW w:w="1560" w:type="dxa"/>
            <w:vMerge w:val="restart"/>
            <w:vAlign w:val="center"/>
          </w:tcPr>
          <w:p w:rsidR="00F61944" w:rsidRPr="00F61944" w:rsidRDefault="00F61944" w:rsidP="00F61944">
            <w:pPr>
              <w:snapToGrid w:val="0"/>
              <w:rPr>
                <w:sz w:val="18"/>
                <w:szCs w:val="18"/>
                <w:vertAlign w:val="superscript"/>
              </w:rPr>
            </w:pPr>
            <w:r w:rsidRPr="00F61944">
              <w:rPr>
                <w:sz w:val="18"/>
                <w:szCs w:val="18"/>
              </w:rPr>
              <w:t>Kgep.m-</w:t>
            </w:r>
            <w:r w:rsidRPr="00F61944">
              <w:rPr>
                <w:sz w:val="18"/>
                <w:szCs w:val="18"/>
                <w:vertAlign w:val="superscript"/>
              </w:rPr>
              <w:t>2</w:t>
            </w:r>
          </w:p>
          <w:p w:rsidR="00F61944" w:rsidRPr="00F61944" w:rsidRDefault="00F61944" w:rsidP="00F61944">
            <w:pPr>
              <w:snapToGrid w:val="0"/>
              <w:rPr>
                <w:sz w:val="18"/>
                <w:szCs w:val="18"/>
              </w:rPr>
            </w:pPr>
            <w:r w:rsidRPr="00F61944">
              <w:rPr>
                <w:sz w:val="18"/>
                <w:szCs w:val="18"/>
              </w:rPr>
              <w:t>year</w:t>
            </w:r>
            <w:r w:rsidRPr="00F61944">
              <w:rPr>
                <w:sz w:val="18"/>
                <w:szCs w:val="18"/>
                <w:vertAlign w:val="superscript"/>
              </w:rPr>
              <w:t>-1</w:t>
            </w:r>
          </w:p>
        </w:tc>
      </w:tr>
      <w:tr w:rsidR="00F61944" w:rsidRPr="00F61944" w:rsidTr="00F61944">
        <w:trPr>
          <w:trHeight w:val="284"/>
          <w:jc w:val="center"/>
        </w:trPr>
        <w:tc>
          <w:tcPr>
            <w:tcW w:w="988" w:type="dxa"/>
            <w:vMerge/>
            <w:vAlign w:val="center"/>
          </w:tcPr>
          <w:p w:rsidR="00F61944" w:rsidRPr="00F61944" w:rsidRDefault="00F61944" w:rsidP="00F61944">
            <w:pPr>
              <w:snapToGrid w:val="0"/>
              <w:rPr>
                <w:sz w:val="18"/>
                <w:szCs w:val="18"/>
              </w:rPr>
            </w:pPr>
          </w:p>
        </w:tc>
        <w:tc>
          <w:tcPr>
            <w:tcW w:w="992" w:type="dxa"/>
            <w:vAlign w:val="center"/>
          </w:tcPr>
          <w:p w:rsidR="00F61944" w:rsidRPr="00F61944" w:rsidRDefault="00F61944" w:rsidP="00F61944">
            <w:pPr>
              <w:snapToGrid w:val="0"/>
              <w:rPr>
                <w:sz w:val="18"/>
                <w:szCs w:val="18"/>
              </w:rPr>
            </w:pPr>
            <w:r w:rsidRPr="00F61944">
              <w:rPr>
                <w:sz w:val="18"/>
                <w:szCs w:val="18"/>
              </w:rPr>
              <w:t>Gas</w:t>
            </w:r>
          </w:p>
        </w:tc>
        <w:tc>
          <w:tcPr>
            <w:tcW w:w="1134" w:type="dxa"/>
            <w:vAlign w:val="center"/>
          </w:tcPr>
          <w:p w:rsidR="00F61944" w:rsidRPr="00F61944" w:rsidRDefault="00F61944" w:rsidP="00F61944">
            <w:pPr>
              <w:snapToGrid w:val="0"/>
              <w:rPr>
                <w:sz w:val="18"/>
                <w:szCs w:val="18"/>
              </w:rPr>
            </w:pPr>
            <w:r w:rsidRPr="00F61944">
              <w:rPr>
                <w:sz w:val="18"/>
                <w:szCs w:val="18"/>
              </w:rPr>
              <w:t>1</w:t>
            </w:r>
          </w:p>
        </w:tc>
        <w:tc>
          <w:tcPr>
            <w:tcW w:w="850" w:type="dxa"/>
            <w:vAlign w:val="center"/>
          </w:tcPr>
          <w:p w:rsidR="00F61944" w:rsidRPr="00F61944" w:rsidRDefault="00F61944" w:rsidP="00F61944">
            <w:pPr>
              <w:snapToGrid w:val="0"/>
              <w:rPr>
                <w:sz w:val="18"/>
                <w:szCs w:val="18"/>
              </w:rPr>
            </w:pPr>
            <w:r w:rsidRPr="00F61944">
              <w:rPr>
                <w:sz w:val="18"/>
                <w:szCs w:val="18"/>
              </w:rPr>
              <w:t>0.36</w:t>
            </w:r>
          </w:p>
        </w:tc>
        <w:tc>
          <w:tcPr>
            <w:tcW w:w="980" w:type="dxa"/>
            <w:vAlign w:val="center"/>
          </w:tcPr>
          <w:p w:rsidR="00F61944" w:rsidRPr="00F61944" w:rsidRDefault="00F61944" w:rsidP="00F61944">
            <w:pPr>
              <w:snapToGrid w:val="0"/>
              <w:rPr>
                <w:sz w:val="18"/>
                <w:szCs w:val="18"/>
              </w:rPr>
            </w:pPr>
            <w:r w:rsidRPr="00F61944">
              <w:rPr>
                <w:sz w:val="18"/>
                <w:szCs w:val="18"/>
              </w:rPr>
              <w:t>0.27</w:t>
            </w:r>
          </w:p>
        </w:tc>
        <w:tc>
          <w:tcPr>
            <w:tcW w:w="863" w:type="dxa"/>
            <w:vAlign w:val="center"/>
          </w:tcPr>
          <w:p w:rsidR="00F61944" w:rsidRPr="00F61944" w:rsidRDefault="00F61944" w:rsidP="00F61944">
            <w:pPr>
              <w:snapToGrid w:val="0"/>
              <w:rPr>
                <w:sz w:val="18"/>
                <w:szCs w:val="18"/>
              </w:rPr>
            </w:pPr>
            <w:r w:rsidRPr="00F61944">
              <w:rPr>
                <w:sz w:val="18"/>
                <w:szCs w:val="18"/>
              </w:rPr>
              <w:t>0.2</w:t>
            </w:r>
          </w:p>
        </w:tc>
        <w:tc>
          <w:tcPr>
            <w:tcW w:w="992" w:type="dxa"/>
            <w:vAlign w:val="center"/>
          </w:tcPr>
          <w:p w:rsidR="00F61944" w:rsidRPr="00F61944" w:rsidRDefault="00F61944" w:rsidP="00F61944">
            <w:pPr>
              <w:snapToGrid w:val="0"/>
              <w:rPr>
                <w:sz w:val="18"/>
                <w:szCs w:val="18"/>
              </w:rPr>
            </w:pPr>
            <w:r w:rsidRPr="00F61944">
              <w:rPr>
                <w:sz w:val="18"/>
                <w:szCs w:val="18"/>
              </w:rPr>
              <w:t>0.15</w:t>
            </w:r>
          </w:p>
        </w:tc>
        <w:tc>
          <w:tcPr>
            <w:tcW w:w="1560" w:type="dxa"/>
            <w:vMerge/>
            <w:vAlign w:val="center"/>
          </w:tcPr>
          <w:p w:rsidR="00F61944" w:rsidRPr="00F61944" w:rsidRDefault="00F61944" w:rsidP="00F61944">
            <w:pPr>
              <w:snapToGrid w:val="0"/>
              <w:rPr>
                <w:sz w:val="18"/>
                <w:szCs w:val="18"/>
              </w:rPr>
            </w:pP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Cooling</w:t>
            </w:r>
          </w:p>
        </w:tc>
        <w:tc>
          <w:tcPr>
            <w:tcW w:w="1134" w:type="dxa"/>
            <w:vAlign w:val="center"/>
          </w:tcPr>
          <w:p w:rsidR="00F61944" w:rsidRPr="00F61944" w:rsidRDefault="00F61944" w:rsidP="00F61944">
            <w:pPr>
              <w:snapToGrid w:val="0"/>
              <w:rPr>
                <w:sz w:val="18"/>
                <w:szCs w:val="18"/>
              </w:rPr>
            </w:pPr>
            <w:r w:rsidRPr="00F61944">
              <w:rPr>
                <w:sz w:val="18"/>
                <w:szCs w:val="18"/>
              </w:rPr>
              <w:t>5.19</w:t>
            </w:r>
          </w:p>
        </w:tc>
        <w:tc>
          <w:tcPr>
            <w:tcW w:w="850" w:type="dxa"/>
            <w:vAlign w:val="center"/>
          </w:tcPr>
          <w:p w:rsidR="00F61944" w:rsidRPr="00F61944" w:rsidRDefault="00F61944" w:rsidP="00F61944">
            <w:pPr>
              <w:snapToGrid w:val="0"/>
              <w:rPr>
                <w:sz w:val="18"/>
                <w:szCs w:val="18"/>
              </w:rPr>
            </w:pPr>
            <w:r w:rsidRPr="00F61944">
              <w:rPr>
                <w:sz w:val="18"/>
                <w:szCs w:val="18"/>
              </w:rPr>
              <w:t>4.59</w:t>
            </w:r>
          </w:p>
        </w:tc>
        <w:tc>
          <w:tcPr>
            <w:tcW w:w="980" w:type="dxa"/>
            <w:vAlign w:val="center"/>
          </w:tcPr>
          <w:p w:rsidR="00F61944" w:rsidRPr="00F61944" w:rsidRDefault="00F61944" w:rsidP="00F61944">
            <w:pPr>
              <w:snapToGrid w:val="0"/>
              <w:rPr>
                <w:sz w:val="18"/>
                <w:szCs w:val="18"/>
              </w:rPr>
            </w:pPr>
            <w:r w:rsidRPr="00F61944">
              <w:rPr>
                <w:sz w:val="18"/>
                <w:szCs w:val="18"/>
              </w:rPr>
              <w:t>4.53</w:t>
            </w:r>
          </w:p>
        </w:tc>
        <w:tc>
          <w:tcPr>
            <w:tcW w:w="863" w:type="dxa"/>
            <w:vAlign w:val="center"/>
          </w:tcPr>
          <w:p w:rsidR="00F61944" w:rsidRPr="00F61944" w:rsidRDefault="00F61944" w:rsidP="00F61944">
            <w:pPr>
              <w:snapToGrid w:val="0"/>
              <w:rPr>
                <w:sz w:val="18"/>
                <w:szCs w:val="18"/>
              </w:rPr>
            </w:pPr>
            <w:r w:rsidRPr="00F61944">
              <w:rPr>
                <w:sz w:val="18"/>
                <w:szCs w:val="18"/>
              </w:rPr>
              <w:t>4.48</w:t>
            </w:r>
          </w:p>
        </w:tc>
        <w:tc>
          <w:tcPr>
            <w:tcW w:w="992" w:type="dxa"/>
            <w:vAlign w:val="center"/>
          </w:tcPr>
          <w:p w:rsidR="00F61944" w:rsidRPr="00F61944" w:rsidRDefault="00F61944" w:rsidP="00F61944">
            <w:pPr>
              <w:snapToGrid w:val="0"/>
              <w:rPr>
                <w:sz w:val="18"/>
                <w:szCs w:val="18"/>
              </w:rPr>
            </w:pPr>
            <w:r w:rsidRPr="00F61944">
              <w:rPr>
                <w:sz w:val="18"/>
                <w:szCs w:val="18"/>
              </w:rPr>
              <w:t>4.45</w:t>
            </w:r>
          </w:p>
        </w:tc>
        <w:tc>
          <w:tcPr>
            <w:tcW w:w="1560" w:type="dxa"/>
            <w:vMerge/>
            <w:vAlign w:val="center"/>
          </w:tcPr>
          <w:p w:rsidR="00F61944" w:rsidRPr="00F61944" w:rsidRDefault="00F61944" w:rsidP="00F61944">
            <w:pPr>
              <w:snapToGrid w:val="0"/>
              <w:rPr>
                <w:sz w:val="18"/>
                <w:szCs w:val="18"/>
              </w:rPr>
            </w:pP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Ventilation</w:t>
            </w:r>
          </w:p>
        </w:tc>
        <w:tc>
          <w:tcPr>
            <w:tcW w:w="1134" w:type="dxa"/>
            <w:vAlign w:val="center"/>
          </w:tcPr>
          <w:p w:rsidR="00F61944" w:rsidRPr="00F61944" w:rsidRDefault="00F61944" w:rsidP="00F61944">
            <w:pPr>
              <w:snapToGrid w:val="0"/>
              <w:rPr>
                <w:sz w:val="18"/>
                <w:szCs w:val="18"/>
              </w:rPr>
            </w:pPr>
            <w:r w:rsidRPr="00F61944">
              <w:rPr>
                <w:sz w:val="18"/>
                <w:szCs w:val="18"/>
              </w:rPr>
              <w:t>5.56</w:t>
            </w:r>
          </w:p>
        </w:tc>
        <w:tc>
          <w:tcPr>
            <w:tcW w:w="850" w:type="dxa"/>
            <w:vAlign w:val="center"/>
          </w:tcPr>
          <w:p w:rsidR="00F61944" w:rsidRPr="00F61944" w:rsidRDefault="00F61944" w:rsidP="00F61944">
            <w:pPr>
              <w:snapToGrid w:val="0"/>
              <w:rPr>
                <w:sz w:val="18"/>
                <w:szCs w:val="18"/>
              </w:rPr>
            </w:pPr>
            <w:r w:rsidRPr="00F61944">
              <w:rPr>
                <w:sz w:val="18"/>
                <w:szCs w:val="18"/>
              </w:rPr>
              <w:t>4.99</w:t>
            </w:r>
          </w:p>
        </w:tc>
        <w:tc>
          <w:tcPr>
            <w:tcW w:w="980" w:type="dxa"/>
            <w:vAlign w:val="center"/>
          </w:tcPr>
          <w:p w:rsidR="00F61944" w:rsidRPr="00F61944" w:rsidRDefault="00F61944" w:rsidP="00F61944">
            <w:pPr>
              <w:snapToGrid w:val="0"/>
              <w:rPr>
                <w:sz w:val="18"/>
                <w:szCs w:val="18"/>
              </w:rPr>
            </w:pPr>
            <w:r w:rsidRPr="00F61944">
              <w:rPr>
                <w:sz w:val="18"/>
                <w:szCs w:val="18"/>
              </w:rPr>
              <w:t>4.97</w:t>
            </w:r>
          </w:p>
        </w:tc>
        <w:tc>
          <w:tcPr>
            <w:tcW w:w="863" w:type="dxa"/>
            <w:vAlign w:val="center"/>
          </w:tcPr>
          <w:p w:rsidR="00F61944" w:rsidRPr="00F61944" w:rsidRDefault="00F61944" w:rsidP="00F61944">
            <w:pPr>
              <w:snapToGrid w:val="0"/>
              <w:rPr>
                <w:sz w:val="18"/>
                <w:szCs w:val="18"/>
              </w:rPr>
            </w:pPr>
            <w:r w:rsidRPr="00F61944">
              <w:rPr>
                <w:sz w:val="18"/>
                <w:szCs w:val="18"/>
              </w:rPr>
              <w:t>4.87</w:t>
            </w:r>
          </w:p>
        </w:tc>
        <w:tc>
          <w:tcPr>
            <w:tcW w:w="992" w:type="dxa"/>
            <w:vAlign w:val="center"/>
          </w:tcPr>
          <w:p w:rsidR="00F61944" w:rsidRPr="00F61944" w:rsidRDefault="00F61944" w:rsidP="00F61944">
            <w:pPr>
              <w:snapToGrid w:val="0"/>
              <w:rPr>
                <w:sz w:val="18"/>
                <w:szCs w:val="18"/>
              </w:rPr>
            </w:pPr>
            <w:r w:rsidRPr="00F61944">
              <w:rPr>
                <w:sz w:val="18"/>
                <w:szCs w:val="18"/>
              </w:rPr>
              <w:t>4.91</w:t>
            </w:r>
          </w:p>
        </w:tc>
        <w:tc>
          <w:tcPr>
            <w:tcW w:w="1560" w:type="dxa"/>
            <w:vMerge/>
            <w:vAlign w:val="center"/>
          </w:tcPr>
          <w:p w:rsidR="00F61944" w:rsidRPr="00F61944" w:rsidRDefault="00F61944" w:rsidP="00F61944">
            <w:pPr>
              <w:snapToGrid w:val="0"/>
              <w:rPr>
                <w:sz w:val="18"/>
                <w:szCs w:val="18"/>
              </w:rPr>
            </w:pP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Pumps</w:t>
            </w:r>
          </w:p>
        </w:tc>
        <w:tc>
          <w:tcPr>
            <w:tcW w:w="1134" w:type="dxa"/>
            <w:vAlign w:val="center"/>
          </w:tcPr>
          <w:p w:rsidR="00F61944" w:rsidRPr="00F61944" w:rsidRDefault="00F61944" w:rsidP="00F61944">
            <w:pPr>
              <w:snapToGrid w:val="0"/>
              <w:rPr>
                <w:sz w:val="18"/>
                <w:szCs w:val="18"/>
              </w:rPr>
            </w:pPr>
            <w:r w:rsidRPr="00F61944">
              <w:rPr>
                <w:sz w:val="18"/>
                <w:szCs w:val="18"/>
              </w:rPr>
              <w:t>2.67</w:t>
            </w:r>
          </w:p>
        </w:tc>
        <w:tc>
          <w:tcPr>
            <w:tcW w:w="850" w:type="dxa"/>
            <w:vAlign w:val="center"/>
          </w:tcPr>
          <w:p w:rsidR="00F61944" w:rsidRPr="00F61944" w:rsidRDefault="00F61944" w:rsidP="00F61944">
            <w:pPr>
              <w:snapToGrid w:val="0"/>
              <w:rPr>
                <w:sz w:val="18"/>
                <w:szCs w:val="18"/>
              </w:rPr>
            </w:pPr>
            <w:r w:rsidRPr="00F61944">
              <w:rPr>
                <w:sz w:val="18"/>
                <w:szCs w:val="18"/>
              </w:rPr>
              <w:t>1.41</w:t>
            </w:r>
          </w:p>
        </w:tc>
        <w:tc>
          <w:tcPr>
            <w:tcW w:w="980" w:type="dxa"/>
            <w:vAlign w:val="center"/>
          </w:tcPr>
          <w:p w:rsidR="00F61944" w:rsidRPr="00F61944" w:rsidRDefault="00F61944" w:rsidP="00F61944">
            <w:pPr>
              <w:snapToGrid w:val="0"/>
              <w:rPr>
                <w:sz w:val="18"/>
                <w:szCs w:val="18"/>
              </w:rPr>
            </w:pPr>
            <w:r w:rsidRPr="00F61944">
              <w:rPr>
                <w:sz w:val="18"/>
                <w:szCs w:val="18"/>
              </w:rPr>
              <w:t>1.38</w:t>
            </w:r>
          </w:p>
        </w:tc>
        <w:tc>
          <w:tcPr>
            <w:tcW w:w="863" w:type="dxa"/>
            <w:vAlign w:val="center"/>
          </w:tcPr>
          <w:p w:rsidR="00F61944" w:rsidRPr="00F61944" w:rsidRDefault="00F61944" w:rsidP="00F61944">
            <w:pPr>
              <w:snapToGrid w:val="0"/>
              <w:rPr>
                <w:sz w:val="18"/>
                <w:szCs w:val="18"/>
              </w:rPr>
            </w:pPr>
            <w:r w:rsidRPr="00F61944">
              <w:rPr>
                <w:sz w:val="18"/>
                <w:szCs w:val="18"/>
              </w:rPr>
              <w:t>1.37</w:t>
            </w:r>
          </w:p>
        </w:tc>
        <w:tc>
          <w:tcPr>
            <w:tcW w:w="992" w:type="dxa"/>
            <w:vAlign w:val="center"/>
          </w:tcPr>
          <w:p w:rsidR="00F61944" w:rsidRPr="00F61944" w:rsidRDefault="00F61944" w:rsidP="00F61944">
            <w:pPr>
              <w:snapToGrid w:val="0"/>
              <w:rPr>
                <w:sz w:val="18"/>
                <w:szCs w:val="18"/>
              </w:rPr>
            </w:pPr>
            <w:r w:rsidRPr="00F61944">
              <w:rPr>
                <w:sz w:val="18"/>
                <w:szCs w:val="18"/>
              </w:rPr>
              <w:t>1.37</w:t>
            </w:r>
          </w:p>
        </w:tc>
        <w:tc>
          <w:tcPr>
            <w:tcW w:w="1560" w:type="dxa"/>
            <w:vMerge/>
            <w:vAlign w:val="center"/>
          </w:tcPr>
          <w:p w:rsidR="00F61944" w:rsidRPr="00F61944" w:rsidRDefault="00F61944" w:rsidP="00F61944">
            <w:pPr>
              <w:snapToGrid w:val="0"/>
              <w:rPr>
                <w:sz w:val="18"/>
                <w:szCs w:val="18"/>
              </w:rPr>
            </w:pP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EEI</w:t>
            </w:r>
            <w:r w:rsidRPr="00F61944">
              <w:rPr>
                <w:sz w:val="18"/>
                <w:szCs w:val="18"/>
                <w:vertAlign w:val="subscript"/>
              </w:rPr>
              <w:t>nominal</w:t>
            </w:r>
          </w:p>
        </w:tc>
        <w:tc>
          <w:tcPr>
            <w:tcW w:w="1134" w:type="dxa"/>
            <w:vAlign w:val="center"/>
          </w:tcPr>
          <w:p w:rsidR="00F61944" w:rsidRPr="00F61944" w:rsidRDefault="00F61944" w:rsidP="00F61944">
            <w:pPr>
              <w:snapToGrid w:val="0"/>
              <w:rPr>
                <w:sz w:val="18"/>
                <w:szCs w:val="18"/>
              </w:rPr>
            </w:pPr>
            <w:r w:rsidRPr="00F61944">
              <w:rPr>
                <w:sz w:val="18"/>
                <w:szCs w:val="18"/>
              </w:rPr>
              <w:t>48.1</w:t>
            </w:r>
          </w:p>
        </w:tc>
        <w:tc>
          <w:tcPr>
            <w:tcW w:w="850" w:type="dxa"/>
            <w:vAlign w:val="center"/>
          </w:tcPr>
          <w:p w:rsidR="00F61944" w:rsidRPr="00F61944" w:rsidRDefault="00F61944" w:rsidP="00F61944">
            <w:pPr>
              <w:snapToGrid w:val="0"/>
              <w:rPr>
                <w:sz w:val="18"/>
                <w:szCs w:val="18"/>
              </w:rPr>
            </w:pPr>
            <w:r w:rsidRPr="00F61944">
              <w:rPr>
                <w:sz w:val="18"/>
                <w:szCs w:val="18"/>
              </w:rPr>
              <w:t>44.99</w:t>
            </w:r>
          </w:p>
        </w:tc>
        <w:tc>
          <w:tcPr>
            <w:tcW w:w="980" w:type="dxa"/>
            <w:vAlign w:val="center"/>
          </w:tcPr>
          <w:p w:rsidR="00F61944" w:rsidRPr="00F61944" w:rsidRDefault="00F61944" w:rsidP="00F61944">
            <w:pPr>
              <w:snapToGrid w:val="0"/>
              <w:rPr>
                <w:sz w:val="18"/>
                <w:szCs w:val="18"/>
              </w:rPr>
            </w:pPr>
            <w:r w:rsidRPr="00F61944">
              <w:rPr>
                <w:sz w:val="18"/>
                <w:szCs w:val="18"/>
              </w:rPr>
              <w:t>44.77</w:t>
            </w:r>
          </w:p>
        </w:tc>
        <w:tc>
          <w:tcPr>
            <w:tcW w:w="863" w:type="dxa"/>
            <w:vAlign w:val="center"/>
          </w:tcPr>
          <w:p w:rsidR="00F61944" w:rsidRPr="00F61944" w:rsidRDefault="00F61944" w:rsidP="00F61944">
            <w:pPr>
              <w:snapToGrid w:val="0"/>
              <w:rPr>
                <w:sz w:val="18"/>
                <w:szCs w:val="18"/>
              </w:rPr>
            </w:pPr>
            <w:r w:rsidRPr="00F61944">
              <w:rPr>
                <w:sz w:val="18"/>
                <w:szCs w:val="18"/>
              </w:rPr>
              <w:t>44.53</w:t>
            </w:r>
          </w:p>
        </w:tc>
        <w:tc>
          <w:tcPr>
            <w:tcW w:w="992" w:type="dxa"/>
            <w:vAlign w:val="center"/>
          </w:tcPr>
          <w:p w:rsidR="00F61944" w:rsidRPr="00F61944" w:rsidRDefault="00F61944" w:rsidP="00F61944">
            <w:pPr>
              <w:snapToGrid w:val="0"/>
              <w:rPr>
                <w:sz w:val="18"/>
                <w:szCs w:val="18"/>
              </w:rPr>
            </w:pPr>
            <w:r w:rsidRPr="00F61944">
              <w:rPr>
                <w:sz w:val="18"/>
                <w:szCs w:val="18"/>
              </w:rPr>
              <w:t>44.49</w:t>
            </w:r>
          </w:p>
        </w:tc>
        <w:tc>
          <w:tcPr>
            <w:tcW w:w="1560" w:type="dxa"/>
            <w:vMerge/>
            <w:vAlign w:val="center"/>
          </w:tcPr>
          <w:p w:rsidR="00F61944" w:rsidRPr="00F61944" w:rsidRDefault="00F61944" w:rsidP="00F61944">
            <w:pPr>
              <w:snapToGrid w:val="0"/>
              <w:rPr>
                <w:sz w:val="18"/>
                <w:szCs w:val="18"/>
              </w:rPr>
            </w:pP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Consumption</w:t>
            </w:r>
          </w:p>
        </w:tc>
        <w:tc>
          <w:tcPr>
            <w:tcW w:w="1134" w:type="dxa"/>
            <w:vAlign w:val="center"/>
          </w:tcPr>
          <w:p w:rsidR="00F61944" w:rsidRPr="00F61944" w:rsidRDefault="00F61944" w:rsidP="00F61944">
            <w:pPr>
              <w:snapToGrid w:val="0"/>
              <w:rPr>
                <w:sz w:val="18"/>
                <w:szCs w:val="18"/>
              </w:rPr>
            </w:pPr>
            <w:r w:rsidRPr="00F61944">
              <w:rPr>
                <w:sz w:val="18"/>
                <w:szCs w:val="18"/>
              </w:rPr>
              <w:t>1100.4</w:t>
            </w:r>
          </w:p>
        </w:tc>
        <w:tc>
          <w:tcPr>
            <w:tcW w:w="850" w:type="dxa"/>
            <w:vAlign w:val="center"/>
          </w:tcPr>
          <w:p w:rsidR="00F61944" w:rsidRPr="00F61944" w:rsidRDefault="00F61944" w:rsidP="00F61944">
            <w:pPr>
              <w:snapToGrid w:val="0"/>
              <w:rPr>
                <w:sz w:val="18"/>
                <w:szCs w:val="18"/>
              </w:rPr>
            </w:pPr>
            <w:r w:rsidRPr="00F61944">
              <w:rPr>
                <w:sz w:val="18"/>
                <w:szCs w:val="18"/>
              </w:rPr>
              <w:t>1029.5</w:t>
            </w:r>
          </w:p>
        </w:tc>
        <w:tc>
          <w:tcPr>
            <w:tcW w:w="980" w:type="dxa"/>
            <w:vAlign w:val="center"/>
          </w:tcPr>
          <w:p w:rsidR="00F61944" w:rsidRPr="00F61944" w:rsidRDefault="00F61944" w:rsidP="00F61944">
            <w:pPr>
              <w:snapToGrid w:val="0"/>
              <w:rPr>
                <w:sz w:val="18"/>
                <w:szCs w:val="18"/>
              </w:rPr>
            </w:pPr>
            <w:r w:rsidRPr="00F61944">
              <w:rPr>
                <w:sz w:val="18"/>
                <w:szCs w:val="18"/>
              </w:rPr>
              <w:t>1026</w:t>
            </w:r>
          </w:p>
        </w:tc>
        <w:tc>
          <w:tcPr>
            <w:tcW w:w="863" w:type="dxa"/>
            <w:vAlign w:val="center"/>
          </w:tcPr>
          <w:p w:rsidR="00F61944" w:rsidRPr="00F61944" w:rsidRDefault="00F61944" w:rsidP="00F61944">
            <w:pPr>
              <w:snapToGrid w:val="0"/>
              <w:rPr>
                <w:sz w:val="18"/>
                <w:szCs w:val="18"/>
              </w:rPr>
            </w:pPr>
            <w:r w:rsidRPr="00F61944">
              <w:rPr>
                <w:sz w:val="18"/>
                <w:szCs w:val="18"/>
              </w:rPr>
              <w:t>1021.6</w:t>
            </w:r>
          </w:p>
        </w:tc>
        <w:tc>
          <w:tcPr>
            <w:tcW w:w="992" w:type="dxa"/>
            <w:vAlign w:val="center"/>
          </w:tcPr>
          <w:p w:rsidR="00F61944" w:rsidRPr="00F61944" w:rsidRDefault="00F61944" w:rsidP="00F61944">
            <w:pPr>
              <w:snapToGrid w:val="0"/>
              <w:rPr>
                <w:sz w:val="18"/>
                <w:szCs w:val="18"/>
              </w:rPr>
            </w:pPr>
            <w:r w:rsidRPr="00F61944">
              <w:rPr>
                <w:sz w:val="18"/>
                <w:szCs w:val="18"/>
              </w:rPr>
              <w:t>1022</w:t>
            </w:r>
          </w:p>
        </w:tc>
        <w:tc>
          <w:tcPr>
            <w:tcW w:w="1560" w:type="dxa"/>
            <w:vAlign w:val="center"/>
          </w:tcPr>
          <w:p w:rsidR="00F61944" w:rsidRPr="00F61944" w:rsidRDefault="00F61944" w:rsidP="00F61944">
            <w:pPr>
              <w:snapToGrid w:val="0"/>
              <w:rPr>
                <w:sz w:val="18"/>
                <w:szCs w:val="18"/>
              </w:rPr>
            </w:pPr>
            <w:r w:rsidRPr="00F61944">
              <w:rPr>
                <w:sz w:val="18"/>
                <w:szCs w:val="18"/>
              </w:rPr>
              <w:t>tep.year</w:t>
            </w:r>
            <w:r w:rsidRPr="00F61944">
              <w:rPr>
                <w:sz w:val="18"/>
                <w:szCs w:val="18"/>
                <w:vertAlign w:val="superscript"/>
              </w:rPr>
              <w:t>--1</w:t>
            </w: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Total Energy</w:t>
            </w:r>
          </w:p>
        </w:tc>
        <w:tc>
          <w:tcPr>
            <w:tcW w:w="1134" w:type="dxa"/>
            <w:vAlign w:val="center"/>
          </w:tcPr>
          <w:p w:rsidR="00F61944" w:rsidRPr="00F61944" w:rsidRDefault="00F61944" w:rsidP="00F61944">
            <w:pPr>
              <w:snapToGrid w:val="0"/>
              <w:rPr>
                <w:sz w:val="18"/>
                <w:szCs w:val="18"/>
              </w:rPr>
            </w:pPr>
            <w:r w:rsidRPr="00F61944">
              <w:rPr>
                <w:sz w:val="18"/>
                <w:szCs w:val="18"/>
              </w:rPr>
              <w:t>228</w:t>
            </w:r>
          </w:p>
        </w:tc>
        <w:tc>
          <w:tcPr>
            <w:tcW w:w="850" w:type="dxa"/>
            <w:vAlign w:val="center"/>
          </w:tcPr>
          <w:p w:rsidR="00F61944" w:rsidRPr="00F61944" w:rsidRDefault="00F61944" w:rsidP="00F61944">
            <w:pPr>
              <w:snapToGrid w:val="0"/>
              <w:rPr>
                <w:sz w:val="18"/>
                <w:szCs w:val="18"/>
              </w:rPr>
            </w:pPr>
            <w:r w:rsidRPr="00F61944">
              <w:rPr>
                <w:sz w:val="18"/>
                <w:szCs w:val="18"/>
              </w:rPr>
              <w:t>211</w:t>
            </w:r>
          </w:p>
        </w:tc>
        <w:tc>
          <w:tcPr>
            <w:tcW w:w="980" w:type="dxa"/>
            <w:vAlign w:val="center"/>
          </w:tcPr>
          <w:p w:rsidR="00F61944" w:rsidRPr="00F61944" w:rsidRDefault="00F61944" w:rsidP="00F61944">
            <w:pPr>
              <w:snapToGrid w:val="0"/>
              <w:rPr>
                <w:sz w:val="18"/>
                <w:szCs w:val="18"/>
              </w:rPr>
            </w:pPr>
            <w:r w:rsidRPr="00F61944">
              <w:rPr>
                <w:sz w:val="18"/>
                <w:szCs w:val="18"/>
              </w:rPr>
              <w:t>210</w:t>
            </w:r>
          </w:p>
        </w:tc>
        <w:tc>
          <w:tcPr>
            <w:tcW w:w="863" w:type="dxa"/>
            <w:vAlign w:val="center"/>
          </w:tcPr>
          <w:p w:rsidR="00F61944" w:rsidRPr="00F61944" w:rsidRDefault="00F61944" w:rsidP="00F61944">
            <w:pPr>
              <w:snapToGrid w:val="0"/>
              <w:rPr>
                <w:sz w:val="18"/>
                <w:szCs w:val="18"/>
              </w:rPr>
            </w:pPr>
            <w:r w:rsidRPr="00F61944">
              <w:rPr>
                <w:sz w:val="18"/>
                <w:szCs w:val="18"/>
              </w:rPr>
              <w:t>209</w:t>
            </w:r>
          </w:p>
        </w:tc>
        <w:tc>
          <w:tcPr>
            <w:tcW w:w="992" w:type="dxa"/>
            <w:vAlign w:val="center"/>
          </w:tcPr>
          <w:p w:rsidR="00F61944" w:rsidRPr="00F61944" w:rsidRDefault="00F61944" w:rsidP="00F61944">
            <w:pPr>
              <w:snapToGrid w:val="0"/>
              <w:rPr>
                <w:sz w:val="18"/>
                <w:szCs w:val="18"/>
              </w:rPr>
            </w:pPr>
            <w:r w:rsidRPr="00F61944">
              <w:rPr>
                <w:sz w:val="18"/>
                <w:szCs w:val="18"/>
              </w:rPr>
              <w:t>208</w:t>
            </w:r>
          </w:p>
        </w:tc>
        <w:tc>
          <w:tcPr>
            <w:tcW w:w="1560" w:type="dxa"/>
            <w:vAlign w:val="center"/>
          </w:tcPr>
          <w:p w:rsidR="00F61944" w:rsidRPr="00F61944" w:rsidRDefault="00F61944" w:rsidP="00F61944">
            <w:pPr>
              <w:snapToGrid w:val="0"/>
              <w:rPr>
                <w:sz w:val="18"/>
                <w:szCs w:val="18"/>
              </w:rPr>
            </w:pPr>
            <w:r w:rsidRPr="00F61944">
              <w:rPr>
                <w:sz w:val="18"/>
                <w:szCs w:val="18"/>
              </w:rPr>
              <w:t>kWh.m</w:t>
            </w:r>
            <w:r w:rsidRPr="00F61944">
              <w:rPr>
                <w:sz w:val="18"/>
                <w:szCs w:val="18"/>
                <w:vertAlign w:val="superscript"/>
              </w:rPr>
              <w:t>-2</w:t>
            </w:r>
            <w:r w:rsidRPr="00F61944">
              <w:rPr>
                <w:sz w:val="18"/>
                <w:szCs w:val="18"/>
              </w:rPr>
              <w:t>.year</w:t>
            </w:r>
            <w:r w:rsidRPr="00F61944">
              <w:rPr>
                <w:sz w:val="18"/>
                <w:szCs w:val="18"/>
                <w:vertAlign w:val="superscript"/>
              </w:rPr>
              <w:t>-1</w:t>
            </w: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CO</w:t>
            </w:r>
            <w:r w:rsidRPr="00F61944">
              <w:rPr>
                <w:sz w:val="18"/>
                <w:szCs w:val="18"/>
                <w:vertAlign w:val="subscript"/>
              </w:rPr>
              <w:t>2</w:t>
            </w:r>
            <w:r w:rsidRPr="00F61944">
              <w:rPr>
                <w:sz w:val="18"/>
                <w:szCs w:val="18"/>
              </w:rPr>
              <w:t xml:space="preserve"> emissions</w:t>
            </w:r>
          </w:p>
        </w:tc>
        <w:tc>
          <w:tcPr>
            <w:tcW w:w="1134" w:type="dxa"/>
            <w:vAlign w:val="center"/>
          </w:tcPr>
          <w:p w:rsidR="00F61944" w:rsidRPr="00F61944" w:rsidRDefault="00F61944" w:rsidP="00F61944">
            <w:pPr>
              <w:snapToGrid w:val="0"/>
              <w:rPr>
                <w:sz w:val="18"/>
                <w:szCs w:val="18"/>
              </w:rPr>
            </w:pPr>
            <w:r w:rsidRPr="00F61944">
              <w:rPr>
                <w:sz w:val="18"/>
                <w:szCs w:val="18"/>
              </w:rPr>
              <w:t>1320.5</w:t>
            </w:r>
          </w:p>
        </w:tc>
        <w:tc>
          <w:tcPr>
            <w:tcW w:w="850" w:type="dxa"/>
            <w:vAlign w:val="center"/>
          </w:tcPr>
          <w:p w:rsidR="00F61944" w:rsidRPr="00F61944" w:rsidRDefault="00F61944" w:rsidP="00F61944">
            <w:pPr>
              <w:snapToGrid w:val="0"/>
              <w:rPr>
                <w:sz w:val="18"/>
                <w:szCs w:val="18"/>
              </w:rPr>
            </w:pPr>
            <w:r w:rsidRPr="00F61944">
              <w:rPr>
                <w:sz w:val="18"/>
                <w:szCs w:val="18"/>
              </w:rPr>
              <w:t>1235.4</w:t>
            </w:r>
          </w:p>
        </w:tc>
        <w:tc>
          <w:tcPr>
            <w:tcW w:w="980" w:type="dxa"/>
            <w:vAlign w:val="center"/>
          </w:tcPr>
          <w:p w:rsidR="00F61944" w:rsidRPr="00F61944" w:rsidRDefault="00F61944" w:rsidP="00F61944">
            <w:pPr>
              <w:snapToGrid w:val="0"/>
              <w:rPr>
                <w:sz w:val="18"/>
                <w:szCs w:val="18"/>
              </w:rPr>
            </w:pPr>
            <w:r w:rsidRPr="00F61944">
              <w:rPr>
                <w:sz w:val="18"/>
                <w:szCs w:val="18"/>
              </w:rPr>
              <w:t>1231.2</w:t>
            </w:r>
          </w:p>
        </w:tc>
        <w:tc>
          <w:tcPr>
            <w:tcW w:w="863" w:type="dxa"/>
            <w:vAlign w:val="center"/>
          </w:tcPr>
          <w:p w:rsidR="00F61944" w:rsidRPr="00F61944" w:rsidRDefault="00F61944" w:rsidP="00F61944">
            <w:pPr>
              <w:snapToGrid w:val="0"/>
              <w:rPr>
                <w:sz w:val="18"/>
                <w:szCs w:val="18"/>
              </w:rPr>
            </w:pPr>
            <w:r w:rsidRPr="00F61944">
              <w:rPr>
                <w:sz w:val="18"/>
                <w:szCs w:val="18"/>
              </w:rPr>
              <w:t>1225.9</w:t>
            </w:r>
          </w:p>
        </w:tc>
        <w:tc>
          <w:tcPr>
            <w:tcW w:w="992" w:type="dxa"/>
            <w:vAlign w:val="center"/>
          </w:tcPr>
          <w:p w:rsidR="00F61944" w:rsidRPr="00F61944" w:rsidRDefault="00F61944" w:rsidP="00F61944">
            <w:pPr>
              <w:snapToGrid w:val="0"/>
              <w:rPr>
                <w:sz w:val="18"/>
                <w:szCs w:val="18"/>
              </w:rPr>
            </w:pPr>
            <w:r w:rsidRPr="00F61944">
              <w:rPr>
                <w:sz w:val="18"/>
                <w:szCs w:val="18"/>
              </w:rPr>
              <w:t>1223.4</w:t>
            </w:r>
          </w:p>
        </w:tc>
        <w:tc>
          <w:tcPr>
            <w:tcW w:w="1560" w:type="dxa"/>
            <w:vAlign w:val="center"/>
          </w:tcPr>
          <w:p w:rsidR="00F61944" w:rsidRPr="00F61944" w:rsidRDefault="00F61944" w:rsidP="00F61944">
            <w:pPr>
              <w:snapToGrid w:val="0"/>
              <w:rPr>
                <w:sz w:val="18"/>
                <w:szCs w:val="18"/>
              </w:rPr>
            </w:pPr>
            <w:r w:rsidRPr="00F61944">
              <w:rPr>
                <w:sz w:val="18"/>
                <w:szCs w:val="18"/>
              </w:rPr>
              <w:t>tons CO</w:t>
            </w:r>
            <w:r w:rsidRPr="00F61944">
              <w:rPr>
                <w:sz w:val="18"/>
                <w:szCs w:val="18"/>
                <w:vertAlign w:val="subscript"/>
              </w:rPr>
              <w:t xml:space="preserve">2 </w:t>
            </w:r>
            <w:r w:rsidRPr="00F61944">
              <w:rPr>
                <w:sz w:val="18"/>
                <w:szCs w:val="18"/>
              </w:rPr>
              <w:t>equiv.year</w:t>
            </w:r>
            <w:r w:rsidRPr="00F61944">
              <w:rPr>
                <w:sz w:val="18"/>
                <w:szCs w:val="18"/>
                <w:vertAlign w:val="superscript"/>
              </w:rPr>
              <w:t>-1</w:t>
            </w: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Costs</w:t>
            </w:r>
          </w:p>
        </w:tc>
        <w:tc>
          <w:tcPr>
            <w:tcW w:w="1134" w:type="dxa"/>
            <w:vAlign w:val="center"/>
          </w:tcPr>
          <w:p w:rsidR="00F61944" w:rsidRPr="00F61944" w:rsidRDefault="00F61944" w:rsidP="00F61944">
            <w:pPr>
              <w:snapToGrid w:val="0"/>
              <w:rPr>
                <w:sz w:val="18"/>
                <w:szCs w:val="18"/>
              </w:rPr>
            </w:pPr>
            <w:r w:rsidRPr="00F61944">
              <w:rPr>
                <w:sz w:val="18"/>
                <w:szCs w:val="18"/>
              </w:rPr>
              <w:t>-</w:t>
            </w:r>
          </w:p>
        </w:tc>
        <w:tc>
          <w:tcPr>
            <w:tcW w:w="850" w:type="dxa"/>
            <w:vAlign w:val="center"/>
          </w:tcPr>
          <w:p w:rsidR="00F61944" w:rsidRPr="00F61944" w:rsidRDefault="00F61944" w:rsidP="00F61944">
            <w:pPr>
              <w:snapToGrid w:val="0"/>
              <w:rPr>
                <w:sz w:val="18"/>
                <w:szCs w:val="18"/>
              </w:rPr>
            </w:pPr>
            <w:r w:rsidRPr="00F61944">
              <w:rPr>
                <w:sz w:val="18"/>
                <w:szCs w:val="18"/>
              </w:rPr>
              <w:t>104.5</w:t>
            </w:r>
          </w:p>
        </w:tc>
        <w:tc>
          <w:tcPr>
            <w:tcW w:w="980" w:type="dxa"/>
            <w:vAlign w:val="center"/>
          </w:tcPr>
          <w:p w:rsidR="00F61944" w:rsidRPr="00F61944" w:rsidRDefault="00F61944" w:rsidP="00F61944">
            <w:pPr>
              <w:snapToGrid w:val="0"/>
              <w:rPr>
                <w:sz w:val="18"/>
                <w:szCs w:val="18"/>
              </w:rPr>
            </w:pPr>
            <w:r w:rsidRPr="00F61944">
              <w:rPr>
                <w:sz w:val="18"/>
                <w:szCs w:val="18"/>
              </w:rPr>
              <w:t>189.4</w:t>
            </w:r>
          </w:p>
        </w:tc>
        <w:tc>
          <w:tcPr>
            <w:tcW w:w="863" w:type="dxa"/>
            <w:vAlign w:val="center"/>
          </w:tcPr>
          <w:p w:rsidR="00F61944" w:rsidRPr="00F61944" w:rsidRDefault="00F61944" w:rsidP="00F61944">
            <w:pPr>
              <w:snapToGrid w:val="0"/>
              <w:rPr>
                <w:sz w:val="18"/>
                <w:szCs w:val="18"/>
              </w:rPr>
            </w:pPr>
            <w:r w:rsidRPr="00F61944">
              <w:rPr>
                <w:sz w:val="18"/>
                <w:szCs w:val="18"/>
              </w:rPr>
              <w:t>316.4</w:t>
            </w:r>
          </w:p>
        </w:tc>
        <w:tc>
          <w:tcPr>
            <w:tcW w:w="992" w:type="dxa"/>
            <w:vAlign w:val="center"/>
          </w:tcPr>
          <w:p w:rsidR="00F61944" w:rsidRPr="00F61944" w:rsidRDefault="00F61944" w:rsidP="00F61944">
            <w:pPr>
              <w:snapToGrid w:val="0"/>
              <w:rPr>
                <w:sz w:val="18"/>
                <w:szCs w:val="18"/>
              </w:rPr>
            </w:pPr>
            <w:r w:rsidRPr="00F61944">
              <w:rPr>
                <w:sz w:val="18"/>
                <w:szCs w:val="18"/>
              </w:rPr>
              <w:t>845.5</w:t>
            </w:r>
          </w:p>
        </w:tc>
        <w:tc>
          <w:tcPr>
            <w:tcW w:w="1560" w:type="dxa"/>
            <w:vAlign w:val="center"/>
          </w:tcPr>
          <w:p w:rsidR="00F61944" w:rsidRPr="00F61944" w:rsidRDefault="00F61944" w:rsidP="00F61944">
            <w:pPr>
              <w:snapToGrid w:val="0"/>
              <w:rPr>
                <w:sz w:val="18"/>
                <w:szCs w:val="18"/>
              </w:rPr>
            </w:pPr>
            <w:r w:rsidRPr="00F61944">
              <w:rPr>
                <w:sz w:val="18"/>
                <w:szCs w:val="18"/>
              </w:rPr>
              <w:t>[€.10</w:t>
            </w:r>
            <w:r w:rsidRPr="00F61944">
              <w:rPr>
                <w:sz w:val="18"/>
                <w:szCs w:val="18"/>
                <w:vertAlign w:val="superscript"/>
              </w:rPr>
              <w:t>3</w:t>
            </w:r>
            <w:r w:rsidRPr="00F61944">
              <w:rPr>
                <w:sz w:val="18"/>
                <w:szCs w:val="18"/>
              </w:rPr>
              <w:t>]</w:t>
            </w:r>
          </w:p>
        </w:tc>
      </w:tr>
      <w:tr w:rsidR="00F61944" w:rsidRPr="00F61944" w:rsidTr="00F61944">
        <w:trPr>
          <w:trHeight w:val="284"/>
          <w:jc w:val="center"/>
        </w:trPr>
        <w:tc>
          <w:tcPr>
            <w:tcW w:w="1980" w:type="dxa"/>
            <w:gridSpan w:val="2"/>
            <w:vAlign w:val="center"/>
          </w:tcPr>
          <w:p w:rsidR="00F61944" w:rsidRPr="00F61944" w:rsidRDefault="00F61944" w:rsidP="00F61944">
            <w:pPr>
              <w:snapToGrid w:val="0"/>
              <w:rPr>
                <w:sz w:val="18"/>
                <w:szCs w:val="18"/>
              </w:rPr>
            </w:pPr>
            <w:r w:rsidRPr="00F61944">
              <w:rPr>
                <w:sz w:val="18"/>
                <w:szCs w:val="18"/>
              </w:rPr>
              <w:t>Payback time</w:t>
            </w:r>
          </w:p>
        </w:tc>
        <w:tc>
          <w:tcPr>
            <w:tcW w:w="1134" w:type="dxa"/>
            <w:vAlign w:val="center"/>
          </w:tcPr>
          <w:p w:rsidR="00F61944" w:rsidRPr="00F61944" w:rsidRDefault="00F61944" w:rsidP="00F61944">
            <w:pPr>
              <w:snapToGrid w:val="0"/>
              <w:rPr>
                <w:sz w:val="18"/>
                <w:szCs w:val="18"/>
              </w:rPr>
            </w:pPr>
          </w:p>
        </w:tc>
        <w:tc>
          <w:tcPr>
            <w:tcW w:w="850" w:type="dxa"/>
            <w:vAlign w:val="center"/>
          </w:tcPr>
          <w:p w:rsidR="00F61944" w:rsidRPr="00F61944" w:rsidRDefault="00F61944" w:rsidP="00F61944">
            <w:pPr>
              <w:snapToGrid w:val="0"/>
              <w:rPr>
                <w:sz w:val="18"/>
                <w:szCs w:val="18"/>
              </w:rPr>
            </w:pPr>
            <w:r w:rsidRPr="00F61944">
              <w:rPr>
                <w:sz w:val="18"/>
                <w:szCs w:val="18"/>
              </w:rPr>
              <w:t>5.6</w:t>
            </w:r>
          </w:p>
        </w:tc>
        <w:tc>
          <w:tcPr>
            <w:tcW w:w="980" w:type="dxa"/>
            <w:vAlign w:val="center"/>
          </w:tcPr>
          <w:p w:rsidR="00F61944" w:rsidRPr="00F61944" w:rsidRDefault="00F61944" w:rsidP="00F61944">
            <w:pPr>
              <w:snapToGrid w:val="0"/>
              <w:rPr>
                <w:sz w:val="18"/>
                <w:szCs w:val="18"/>
              </w:rPr>
            </w:pPr>
            <w:r w:rsidRPr="00F61944">
              <w:rPr>
                <w:sz w:val="18"/>
                <w:szCs w:val="18"/>
              </w:rPr>
              <w:t>9.6</w:t>
            </w:r>
          </w:p>
        </w:tc>
        <w:tc>
          <w:tcPr>
            <w:tcW w:w="863" w:type="dxa"/>
            <w:vAlign w:val="center"/>
          </w:tcPr>
          <w:p w:rsidR="00F61944" w:rsidRPr="00F61944" w:rsidRDefault="00F61944" w:rsidP="00F61944">
            <w:pPr>
              <w:snapToGrid w:val="0"/>
              <w:rPr>
                <w:sz w:val="18"/>
                <w:szCs w:val="18"/>
              </w:rPr>
            </w:pPr>
            <w:r w:rsidRPr="00F61944">
              <w:rPr>
                <w:sz w:val="18"/>
                <w:szCs w:val="18"/>
              </w:rPr>
              <w:t>15.1</w:t>
            </w:r>
          </w:p>
        </w:tc>
        <w:tc>
          <w:tcPr>
            <w:tcW w:w="992" w:type="dxa"/>
            <w:vAlign w:val="center"/>
          </w:tcPr>
          <w:p w:rsidR="00F61944" w:rsidRPr="00F61944" w:rsidRDefault="00F61944" w:rsidP="00F61944">
            <w:pPr>
              <w:snapToGrid w:val="0"/>
              <w:rPr>
                <w:sz w:val="18"/>
                <w:szCs w:val="18"/>
              </w:rPr>
            </w:pPr>
            <w:r w:rsidRPr="00F61944">
              <w:rPr>
                <w:sz w:val="18"/>
                <w:szCs w:val="18"/>
              </w:rPr>
              <w:t>40.4</w:t>
            </w:r>
          </w:p>
        </w:tc>
        <w:tc>
          <w:tcPr>
            <w:tcW w:w="1560" w:type="dxa"/>
            <w:vAlign w:val="center"/>
          </w:tcPr>
          <w:p w:rsidR="00F61944" w:rsidRPr="00F61944" w:rsidRDefault="00F61944" w:rsidP="00F61944">
            <w:pPr>
              <w:snapToGrid w:val="0"/>
              <w:rPr>
                <w:sz w:val="18"/>
                <w:szCs w:val="18"/>
              </w:rPr>
            </w:pPr>
            <w:r w:rsidRPr="00F61944">
              <w:rPr>
                <w:sz w:val="18"/>
                <w:szCs w:val="18"/>
              </w:rPr>
              <w:t>Years</w:t>
            </w:r>
          </w:p>
        </w:tc>
      </w:tr>
    </w:tbl>
    <w:p w:rsidR="00F61944" w:rsidRPr="00F61944" w:rsidRDefault="00F61944" w:rsidP="00F61944">
      <w:pPr>
        <w:pStyle w:val="text-2"/>
        <w:snapToGrid w:val="0"/>
        <w:ind w:firstLine="120"/>
        <w:rPr>
          <w:rFonts w:eastAsiaTheme="minorEastAsia" w:hint="eastAsia"/>
          <w:sz w:val="12"/>
          <w:szCs w:val="12"/>
        </w:rPr>
      </w:pPr>
    </w:p>
    <w:p w:rsidR="00F61944" w:rsidRDefault="00F61944" w:rsidP="00F61944">
      <w:pPr>
        <w:pStyle w:val="text-2"/>
        <w:sectPr w:rsidR="00F61944" w:rsidSect="00F61944">
          <w:type w:val="continuous"/>
          <w:pgSz w:w="11907" w:h="16160"/>
          <w:pgMar w:top="1701" w:right="1134" w:bottom="1418" w:left="1134" w:header="1134" w:footer="1134" w:gutter="0"/>
          <w:cols w:space="425"/>
          <w:titlePg/>
          <w:docGrid w:type="lines" w:linePitch="312"/>
        </w:sectPr>
      </w:pPr>
    </w:p>
    <w:p w:rsidR="00E97D21" w:rsidRPr="002B08FC" w:rsidRDefault="00E97D21" w:rsidP="00F61944">
      <w:pPr>
        <w:pStyle w:val="text-2"/>
        <w:rPr>
          <w:vertAlign w:val="superscript"/>
        </w:rPr>
      </w:pPr>
      <w:r w:rsidRPr="002B08FC">
        <w:lastRenderedPageBreak/>
        <w:t>The baseline for this analysis is the opaque envelope, the base case, from which follows that it is not relevant to improve the U value of the opaque envelope beyond the reference values stipulated by RCCTE, since the decrease of the U values of the opaque envelope, beyond the benchmarks, do not translates into a significant improvement of the final value of the primary energy consumption (</w:t>
      </w:r>
      <w:r w:rsidR="00F61944">
        <w:rPr>
          <w:rFonts w:eastAsiaTheme="minorEastAsia" w:hint="eastAsia"/>
        </w:rPr>
        <w:t>T</w:t>
      </w:r>
      <w:r w:rsidRPr="002B08FC">
        <w:t>able 5, consumption: between Alt 1 and Alt 4 the difference is 0.73%). As can also be observed in the same table, it is apparent that the transition of the U values of the opaque envelope when compared with the alternative one (ALT 1), presents a decrease in the consumption, both for heating (4.27%) and cooling (14.3%) and consequent reduction of ventilation and pumping systems.</w:t>
      </w:r>
      <w:r w:rsidR="00F61944">
        <w:rPr>
          <w:rFonts w:eastAsiaTheme="minorEastAsia" w:hint="eastAsia"/>
        </w:rPr>
        <w:t xml:space="preserve"> </w:t>
      </w:r>
      <w:r w:rsidRPr="002B08FC">
        <w:t>As can be seen, alternative 1 is the best one when compared to the base case, even due to the payback time. Besides these benefits there is no improvement in the energetic classification of the hotel (to reach class B the EEI should be less than 44.1 Kgep.m-</w:t>
      </w:r>
      <w:r w:rsidRPr="002B08FC">
        <w:rPr>
          <w:vertAlign w:val="superscript"/>
        </w:rPr>
        <w:t>2</w:t>
      </w:r>
      <w:r w:rsidRPr="002B08FC">
        <w:t>.year).</w:t>
      </w:r>
    </w:p>
    <w:p w:rsidR="00E97D21" w:rsidRPr="002B08FC" w:rsidRDefault="00E97D21" w:rsidP="00E97D21">
      <w:pPr>
        <w:pStyle w:val="Headlines-2"/>
        <w:spacing w:before="156" w:after="156"/>
      </w:pPr>
      <w:r w:rsidRPr="002B08FC">
        <w:lastRenderedPageBreak/>
        <w:t>4</w:t>
      </w:r>
      <w:r>
        <w:t>.2</w:t>
      </w:r>
      <w:r w:rsidRPr="002B08FC">
        <w:t xml:space="preserve"> Opaque </w:t>
      </w:r>
      <w:r>
        <w:rPr>
          <w:rFonts w:hint="eastAsia"/>
        </w:rPr>
        <w:t>E</w:t>
      </w:r>
      <w:r w:rsidRPr="002B08FC">
        <w:t>nvelope</w:t>
      </w:r>
    </w:p>
    <w:p w:rsidR="00E97D21" w:rsidRPr="002B08FC" w:rsidRDefault="00E97D21" w:rsidP="00E97D21">
      <w:pPr>
        <w:jc w:val="both"/>
        <w:rPr>
          <w:sz w:val="21"/>
          <w:szCs w:val="21"/>
        </w:rPr>
      </w:pPr>
      <w:r w:rsidRPr="002B08FC">
        <w:rPr>
          <w:sz w:val="21"/>
          <w:szCs w:val="21"/>
        </w:rPr>
        <w:t>As the best solution for the opaque envelope is alternative 1, its values were fixed in order to evaluate the alternatives for different types of glazing and frames. With the code Calumen of Saint-Gobain there were analyzed four different alternatives of double glazing regarding the Solar Factor (SF):</w:t>
      </w:r>
    </w:p>
    <w:p w:rsidR="00E97D21" w:rsidRPr="002B08FC" w:rsidRDefault="00E97D21" w:rsidP="00E97D21">
      <w:pPr>
        <w:jc w:val="both"/>
        <w:rPr>
          <w:sz w:val="21"/>
          <w:szCs w:val="21"/>
        </w:rPr>
      </w:pPr>
      <w:r w:rsidRPr="002B08FC">
        <w:rPr>
          <w:sz w:val="21"/>
          <w:szCs w:val="21"/>
        </w:rPr>
        <w:t>Alternative 1 (ALT 1): SF = 0.45</w:t>
      </w:r>
    </w:p>
    <w:p w:rsidR="00E97D21" w:rsidRPr="002B08FC" w:rsidRDefault="00E97D21" w:rsidP="00E97D21">
      <w:pPr>
        <w:jc w:val="both"/>
        <w:rPr>
          <w:sz w:val="21"/>
          <w:szCs w:val="21"/>
        </w:rPr>
      </w:pPr>
      <w:r w:rsidRPr="002B08FC">
        <w:rPr>
          <w:sz w:val="21"/>
          <w:szCs w:val="21"/>
        </w:rPr>
        <w:t>Alternative 1 (ALT 2): SF = 0.4</w:t>
      </w:r>
    </w:p>
    <w:p w:rsidR="00E97D21" w:rsidRPr="002B08FC" w:rsidRDefault="00E97D21" w:rsidP="00E97D21">
      <w:pPr>
        <w:jc w:val="both"/>
        <w:rPr>
          <w:sz w:val="21"/>
          <w:szCs w:val="21"/>
        </w:rPr>
      </w:pPr>
      <w:r w:rsidRPr="002B08FC">
        <w:rPr>
          <w:sz w:val="21"/>
          <w:szCs w:val="21"/>
        </w:rPr>
        <w:t>Alternative 1 (ALT 3): SF = 0.35</w:t>
      </w:r>
    </w:p>
    <w:p w:rsidR="00E97D21" w:rsidRPr="002B08FC" w:rsidRDefault="00E97D21" w:rsidP="00E97D21">
      <w:pPr>
        <w:jc w:val="both"/>
        <w:rPr>
          <w:sz w:val="21"/>
          <w:szCs w:val="21"/>
        </w:rPr>
      </w:pPr>
      <w:r w:rsidRPr="002B08FC">
        <w:rPr>
          <w:sz w:val="21"/>
          <w:szCs w:val="21"/>
        </w:rPr>
        <w:t>Alternative 1 (ALT 4): SF = 0.3</w:t>
      </w:r>
    </w:p>
    <w:p w:rsidR="00E97D21" w:rsidRPr="002B08FC" w:rsidRDefault="00E97D21" w:rsidP="00E97D21">
      <w:pPr>
        <w:pStyle w:val="text-2"/>
      </w:pPr>
      <w:r w:rsidRPr="002B08FC">
        <w:t xml:space="preserve">For each alternative, there were analyzed different frames being them metallic with or without thermal cut or of wood or plastic. The energetic and economic analysis are displayed respectively in </w:t>
      </w:r>
      <w:r w:rsidRPr="00E97D21">
        <w:rPr>
          <w:highlight w:val="red"/>
        </w:rPr>
        <w:t>Table 6</w:t>
      </w:r>
      <w:r w:rsidRPr="002B08FC">
        <w:t xml:space="preserve"> and </w:t>
      </w:r>
      <w:r w:rsidRPr="00E97D21">
        <w:rPr>
          <w:highlight w:val="red"/>
        </w:rPr>
        <w:t>Table 7</w:t>
      </w:r>
      <w:r w:rsidRPr="002B08FC">
        <w:t>.</w:t>
      </w:r>
    </w:p>
    <w:p w:rsidR="00E97D21" w:rsidRDefault="00E97D21" w:rsidP="00E97D21">
      <w:pPr>
        <w:pStyle w:val="text-2"/>
        <w:rPr>
          <w:rFonts w:eastAsiaTheme="minorEastAsia" w:hint="eastAsia"/>
        </w:rPr>
      </w:pPr>
      <w:r w:rsidRPr="002B08FC">
        <w:t xml:space="preserve">From the results of the analysis it is concluded that a window with a low solar factor there is a reduction in thermal cooling requirements. However, it causes increased heating requirements, leading the need to </w:t>
      </w:r>
      <w:r w:rsidRPr="002B08FC">
        <w:lastRenderedPageBreak/>
        <w:t xml:space="preserve">find an optimal point associated with the improvement of the glazed envelope. It was chosen a glass with a </w:t>
      </w:r>
      <w:r w:rsidRPr="002B08FC">
        <w:lastRenderedPageBreak/>
        <w:t>solar factor 0.40, since this solution becomes attractive in terms of payback time.</w:t>
      </w:r>
    </w:p>
    <w:p w:rsidR="008A5E25" w:rsidRDefault="008A5E25" w:rsidP="00E97D21">
      <w:pPr>
        <w:pStyle w:val="text-2"/>
        <w:rPr>
          <w:rFonts w:eastAsiaTheme="minorEastAsia"/>
        </w:rPr>
        <w:sectPr w:rsidR="008A5E25" w:rsidSect="00E3235C">
          <w:type w:val="continuous"/>
          <w:pgSz w:w="11907" w:h="16160"/>
          <w:pgMar w:top="1701" w:right="1134" w:bottom="1418" w:left="1134" w:header="1134" w:footer="1134" w:gutter="0"/>
          <w:cols w:num="2" w:space="425"/>
          <w:titlePg/>
          <w:docGrid w:type="lines" w:linePitch="312"/>
        </w:sectPr>
      </w:pPr>
    </w:p>
    <w:p w:rsidR="008A5E25" w:rsidRPr="008A5E25" w:rsidRDefault="008A5E25" w:rsidP="008A5E25">
      <w:pPr>
        <w:snapToGrid w:val="0"/>
        <w:rPr>
          <w:rFonts w:hint="eastAsia"/>
          <w:sz w:val="8"/>
          <w:szCs w:val="8"/>
          <w:lang w:eastAsia="zh-CN"/>
        </w:rPr>
      </w:pPr>
    </w:p>
    <w:p w:rsidR="008A5E25" w:rsidRPr="008A5E25" w:rsidRDefault="008A5E25" w:rsidP="008A5E25">
      <w:pPr>
        <w:jc w:val="both"/>
        <w:rPr>
          <w:b/>
          <w:bCs/>
          <w:sz w:val="18"/>
          <w:szCs w:val="18"/>
        </w:rPr>
      </w:pPr>
      <w:r w:rsidRPr="008A5E25">
        <w:rPr>
          <w:b/>
          <w:bCs/>
          <w:sz w:val="18"/>
          <w:szCs w:val="18"/>
        </w:rPr>
        <w:t>Table 6  Cost savings using glazed envelope with different frames.</w:t>
      </w:r>
    </w:p>
    <w:tbl>
      <w:tblPr>
        <w:tblStyle w:val="aff0"/>
        <w:tblW w:w="9639" w:type="dxa"/>
        <w:jc w:val="center"/>
        <w:tblLayout w:type="fixed"/>
        <w:tblLook w:val="04A0"/>
      </w:tblPr>
      <w:tblGrid>
        <w:gridCol w:w="1084"/>
        <w:gridCol w:w="777"/>
        <w:gridCol w:w="1556"/>
        <w:gridCol w:w="1555"/>
        <w:gridCol w:w="1556"/>
        <w:gridCol w:w="1555"/>
        <w:gridCol w:w="1556"/>
      </w:tblGrid>
      <w:tr w:rsidR="008A5E25" w:rsidRPr="008A5E25" w:rsidTr="008A5E25">
        <w:trPr>
          <w:trHeight w:val="255"/>
          <w:jc w:val="center"/>
        </w:trPr>
        <w:tc>
          <w:tcPr>
            <w:tcW w:w="1696" w:type="dxa"/>
            <w:gridSpan w:val="2"/>
            <w:vAlign w:val="center"/>
          </w:tcPr>
          <w:p w:rsidR="008A5E25" w:rsidRPr="008A5E25" w:rsidRDefault="008A5E25" w:rsidP="008A5E25">
            <w:pPr>
              <w:snapToGrid w:val="0"/>
              <w:rPr>
                <w:sz w:val="18"/>
                <w:szCs w:val="18"/>
              </w:rPr>
            </w:pPr>
            <w:r w:rsidRPr="008A5E25">
              <w:rPr>
                <w:sz w:val="18"/>
                <w:szCs w:val="18"/>
              </w:rPr>
              <w:t>Double glazing</w:t>
            </w:r>
          </w:p>
        </w:tc>
        <w:tc>
          <w:tcPr>
            <w:tcW w:w="1418" w:type="dxa"/>
            <w:vMerge w:val="restart"/>
            <w:vAlign w:val="center"/>
          </w:tcPr>
          <w:p w:rsidR="008A5E25" w:rsidRPr="008A5E25" w:rsidRDefault="008A5E25" w:rsidP="008A5E25">
            <w:pPr>
              <w:snapToGrid w:val="0"/>
              <w:rPr>
                <w:sz w:val="18"/>
                <w:szCs w:val="18"/>
              </w:rPr>
            </w:pPr>
            <w:r w:rsidRPr="008A5E25">
              <w:rPr>
                <w:sz w:val="18"/>
                <w:szCs w:val="18"/>
              </w:rPr>
              <w:t>Type of consumption</w:t>
            </w:r>
          </w:p>
        </w:tc>
        <w:tc>
          <w:tcPr>
            <w:tcW w:w="1417" w:type="dxa"/>
            <w:vMerge w:val="restart"/>
            <w:vAlign w:val="center"/>
          </w:tcPr>
          <w:p w:rsidR="008A5E25" w:rsidRPr="008A5E25" w:rsidRDefault="008A5E25" w:rsidP="008A5E25">
            <w:pPr>
              <w:snapToGrid w:val="0"/>
              <w:rPr>
                <w:sz w:val="18"/>
                <w:szCs w:val="18"/>
              </w:rPr>
            </w:pPr>
            <w:r w:rsidRPr="008A5E25">
              <w:rPr>
                <w:sz w:val="18"/>
                <w:szCs w:val="18"/>
              </w:rPr>
              <w:t>Annual energetic consumption</w:t>
            </w:r>
          </w:p>
          <w:p w:rsidR="008A5E25" w:rsidRPr="008A5E25" w:rsidRDefault="008A5E25" w:rsidP="008A5E25">
            <w:pPr>
              <w:snapToGrid w:val="0"/>
              <w:rPr>
                <w:sz w:val="18"/>
                <w:szCs w:val="18"/>
              </w:rPr>
            </w:pPr>
            <w:r w:rsidRPr="008A5E25">
              <w:rPr>
                <w:sz w:val="18"/>
                <w:szCs w:val="18"/>
              </w:rPr>
              <w:t>[MWh.year</w:t>
            </w:r>
            <w:r w:rsidRPr="008A5E25">
              <w:rPr>
                <w:sz w:val="18"/>
                <w:szCs w:val="18"/>
                <w:vertAlign w:val="superscript"/>
              </w:rPr>
              <w:t>-1</w:t>
            </w:r>
            <w:r w:rsidRPr="008A5E25">
              <w:rPr>
                <w:sz w:val="18"/>
                <w:szCs w:val="18"/>
              </w:rPr>
              <w:t>]</w:t>
            </w:r>
          </w:p>
        </w:tc>
        <w:tc>
          <w:tcPr>
            <w:tcW w:w="1418" w:type="dxa"/>
            <w:vMerge w:val="restart"/>
            <w:vAlign w:val="center"/>
          </w:tcPr>
          <w:p w:rsidR="008A5E25" w:rsidRPr="008A5E25" w:rsidRDefault="008A5E25" w:rsidP="008A5E25">
            <w:pPr>
              <w:snapToGrid w:val="0"/>
              <w:rPr>
                <w:sz w:val="18"/>
                <w:szCs w:val="18"/>
              </w:rPr>
            </w:pPr>
            <w:r w:rsidRPr="008A5E25">
              <w:rPr>
                <w:sz w:val="18"/>
                <w:szCs w:val="18"/>
              </w:rPr>
              <w:t>Annual energetic costs</w:t>
            </w:r>
          </w:p>
          <w:p w:rsidR="008A5E25" w:rsidRPr="008A5E25" w:rsidRDefault="008A5E25" w:rsidP="008A5E25">
            <w:pPr>
              <w:snapToGrid w:val="0"/>
              <w:rPr>
                <w:sz w:val="18"/>
                <w:szCs w:val="18"/>
              </w:rPr>
            </w:pPr>
            <w:r w:rsidRPr="008A5E25">
              <w:rPr>
                <w:sz w:val="18"/>
                <w:szCs w:val="18"/>
              </w:rPr>
              <w:t>[€.10</w:t>
            </w:r>
            <w:r w:rsidRPr="008A5E25">
              <w:rPr>
                <w:sz w:val="18"/>
                <w:szCs w:val="18"/>
                <w:vertAlign w:val="superscript"/>
              </w:rPr>
              <w:t>3</w:t>
            </w:r>
            <w:r w:rsidRPr="008A5E25">
              <w:rPr>
                <w:sz w:val="18"/>
                <w:szCs w:val="18"/>
              </w:rPr>
              <w:t>.year</w:t>
            </w:r>
            <w:r w:rsidRPr="008A5E25">
              <w:rPr>
                <w:sz w:val="18"/>
                <w:szCs w:val="18"/>
                <w:vertAlign w:val="superscript"/>
              </w:rPr>
              <w:t>-1</w:t>
            </w:r>
            <w:r w:rsidRPr="008A5E25">
              <w:rPr>
                <w:sz w:val="18"/>
                <w:szCs w:val="18"/>
              </w:rPr>
              <w:t>]</w:t>
            </w:r>
          </w:p>
        </w:tc>
        <w:tc>
          <w:tcPr>
            <w:tcW w:w="1417" w:type="dxa"/>
            <w:vMerge w:val="restart"/>
            <w:vAlign w:val="center"/>
          </w:tcPr>
          <w:p w:rsidR="008A5E25" w:rsidRPr="008A5E25" w:rsidRDefault="008A5E25" w:rsidP="008A5E25">
            <w:pPr>
              <w:snapToGrid w:val="0"/>
              <w:rPr>
                <w:sz w:val="18"/>
                <w:szCs w:val="18"/>
              </w:rPr>
            </w:pPr>
            <w:r w:rsidRPr="008A5E25">
              <w:rPr>
                <w:sz w:val="18"/>
                <w:szCs w:val="18"/>
              </w:rPr>
              <w:t>Total</w:t>
            </w:r>
          </w:p>
          <w:p w:rsidR="008A5E25" w:rsidRPr="008A5E25" w:rsidRDefault="008A5E25" w:rsidP="008A5E25">
            <w:pPr>
              <w:snapToGrid w:val="0"/>
              <w:rPr>
                <w:sz w:val="18"/>
                <w:szCs w:val="18"/>
              </w:rPr>
            </w:pPr>
            <w:r w:rsidRPr="008A5E25">
              <w:rPr>
                <w:sz w:val="18"/>
                <w:szCs w:val="18"/>
              </w:rPr>
              <w:t>[€.10</w:t>
            </w:r>
            <w:r w:rsidRPr="008A5E25">
              <w:rPr>
                <w:sz w:val="18"/>
                <w:szCs w:val="18"/>
                <w:vertAlign w:val="superscript"/>
              </w:rPr>
              <w:t>3</w:t>
            </w:r>
            <w:r w:rsidRPr="008A5E25">
              <w:rPr>
                <w:sz w:val="18"/>
                <w:szCs w:val="18"/>
              </w:rPr>
              <w:t>.year</w:t>
            </w:r>
            <w:r w:rsidRPr="008A5E25">
              <w:rPr>
                <w:sz w:val="18"/>
                <w:szCs w:val="18"/>
                <w:vertAlign w:val="superscript"/>
              </w:rPr>
              <w:t>-1</w:t>
            </w:r>
            <w:r w:rsidRPr="008A5E25">
              <w:rPr>
                <w:sz w:val="18"/>
                <w:szCs w:val="18"/>
              </w:rPr>
              <w:t>]</w:t>
            </w:r>
          </w:p>
        </w:tc>
        <w:tc>
          <w:tcPr>
            <w:tcW w:w="1418" w:type="dxa"/>
            <w:vMerge w:val="restart"/>
            <w:vAlign w:val="center"/>
          </w:tcPr>
          <w:p w:rsidR="008A5E25" w:rsidRPr="008A5E25" w:rsidRDefault="008A5E25" w:rsidP="008A5E25">
            <w:pPr>
              <w:snapToGrid w:val="0"/>
              <w:rPr>
                <w:sz w:val="18"/>
                <w:szCs w:val="18"/>
              </w:rPr>
            </w:pPr>
            <w:r w:rsidRPr="008A5E25">
              <w:rPr>
                <w:sz w:val="18"/>
                <w:szCs w:val="18"/>
              </w:rPr>
              <w:t>Cost savings</w:t>
            </w:r>
          </w:p>
          <w:p w:rsidR="008A5E25" w:rsidRPr="008A5E25" w:rsidRDefault="008A5E25" w:rsidP="008A5E25">
            <w:pPr>
              <w:snapToGrid w:val="0"/>
              <w:rPr>
                <w:sz w:val="18"/>
                <w:szCs w:val="18"/>
              </w:rPr>
            </w:pPr>
            <w:r w:rsidRPr="008A5E25">
              <w:rPr>
                <w:sz w:val="18"/>
                <w:szCs w:val="18"/>
              </w:rPr>
              <w:t>[€.10</w:t>
            </w:r>
            <w:r w:rsidRPr="008A5E25">
              <w:rPr>
                <w:sz w:val="18"/>
                <w:szCs w:val="18"/>
                <w:vertAlign w:val="superscript"/>
              </w:rPr>
              <w:t>3</w:t>
            </w:r>
            <w:r w:rsidRPr="008A5E25">
              <w:rPr>
                <w:sz w:val="18"/>
                <w:szCs w:val="18"/>
              </w:rPr>
              <w:t>year</w:t>
            </w:r>
            <w:r w:rsidRPr="008A5E25">
              <w:rPr>
                <w:sz w:val="18"/>
                <w:szCs w:val="18"/>
                <w:vertAlign w:val="superscript"/>
              </w:rPr>
              <w:t>-1</w:t>
            </w:r>
            <w:r w:rsidRPr="008A5E25">
              <w:rPr>
                <w:sz w:val="18"/>
                <w:szCs w:val="18"/>
              </w:rPr>
              <w:t>]</w:t>
            </w:r>
          </w:p>
        </w:tc>
      </w:tr>
      <w:tr w:rsidR="008A5E25" w:rsidRPr="008A5E25" w:rsidTr="008A5E25">
        <w:trPr>
          <w:trHeight w:val="255"/>
          <w:jc w:val="center"/>
        </w:trPr>
        <w:tc>
          <w:tcPr>
            <w:tcW w:w="988" w:type="dxa"/>
            <w:vAlign w:val="center"/>
          </w:tcPr>
          <w:p w:rsidR="008A5E25" w:rsidRPr="008A5E25" w:rsidRDefault="008A5E25" w:rsidP="008A5E25">
            <w:pPr>
              <w:snapToGrid w:val="0"/>
              <w:rPr>
                <w:sz w:val="18"/>
                <w:szCs w:val="18"/>
              </w:rPr>
            </w:pPr>
            <w:r w:rsidRPr="008A5E25">
              <w:rPr>
                <w:sz w:val="18"/>
                <w:szCs w:val="18"/>
              </w:rPr>
              <w:t>Frame</w:t>
            </w:r>
          </w:p>
        </w:tc>
        <w:tc>
          <w:tcPr>
            <w:tcW w:w="708" w:type="dxa"/>
            <w:vAlign w:val="center"/>
          </w:tcPr>
          <w:p w:rsidR="008A5E25" w:rsidRPr="008A5E25" w:rsidRDefault="008A5E25" w:rsidP="008A5E25">
            <w:pPr>
              <w:snapToGrid w:val="0"/>
              <w:rPr>
                <w:sz w:val="18"/>
                <w:szCs w:val="18"/>
              </w:rPr>
            </w:pPr>
            <w:r w:rsidRPr="008A5E25">
              <w:rPr>
                <w:sz w:val="18"/>
                <w:szCs w:val="18"/>
              </w:rPr>
              <w:t>SF</w:t>
            </w:r>
          </w:p>
        </w:tc>
        <w:tc>
          <w:tcPr>
            <w:tcW w:w="1418" w:type="dxa"/>
            <w:vMerge/>
            <w:vAlign w:val="center"/>
          </w:tcPr>
          <w:p w:rsidR="008A5E25" w:rsidRPr="008A5E25" w:rsidRDefault="008A5E25" w:rsidP="008A5E25">
            <w:pPr>
              <w:snapToGrid w:val="0"/>
              <w:rPr>
                <w:sz w:val="18"/>
                <w:szCs w:val="18"/>
              </w:rPr>
            </w:pP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1696" w:type="dxa"/>
            <w:gridSpan w:val="2"/>
            <w:vMerge w:val="restart"/>
            <w:vAlign w:val="center"/>
          </w:tcPr>
          <w:p w:rsidR="008A5E25" w:rsidRPr="008A5E25" w:rsidRDefault="008A5E25" w:rsidP="008A5E25">
            <w:pPr>
              <w:snapToGrid w:val="0"/>
              <w:rPr>
                <w:sz w:val="18"/>
                <w:szCs w:val="18"/>
              </w:rPr>
            </w:pPr>
            <w:r w:rsidRPr="008A5E25">
              <w:rPr>
                <w:sz w:val="18"/>
                <w:szCs w:val="18"/>
              </w:rPr>
              <w:t>Base case (0.56)</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3157</w:t>
            </w:r>
          </w:p>
        </w:tc>
        <w:tc>
          <w:tcPr>
            <w:tcW w:w="1418" w:type="dxa"/>
            <w:vAlign w:val="center"/>
          </w:tcPr>
          <w:p w:rsidR="008A5E25" w:rsidRPr="008A5E25" w:rsidRDefault="008A5E25" w:rsidP="008A5E25">
            <w:pPr>
              <w:snapToGrid w:val="0"/>
              <w:rPr>
                <w:sz w:val="18"/>
                <w:szCs w:val="18"/>
              </w:rPr>
            </w:pPr>
            <w:r w:rsidRPr="008A5E25">
              <w:rPr>
                <w:sz w:val="18"/>
                <w:szCs w:val="18"/>
              </w:rPr>
              <w:t>262</w:t>
            </w:r>
          </w:p>
        </w:tc>
        <w:tc>
          <w:tcPr>
            <w:tcW w:w="1417" w:type="dxa"/>
            <w:vMerge w:val="restart"/>
            <w:vAlign w:val="center"/>
          </w:tcPr>
          <w:p w:rsidR="008A5E25" w:rsidRPr="008A5E25" w:rsidRDefault="008A5E25" w:rsidP="008A5E25">
            <w:pPr>
              <w:snapToGrid w:val="0"/>
              <w:rPr>
                <w:sz w:val="18"/>
                <w:szCs w:val="18"/>
              </w:rPr>
            </w:pPr>
            <w:r w:rsidRPr="008A5E25">
              <w:rPr>
                <w:sz w:val="18"/>
                <w:szCs w:val="18"/>
              </w:rPr>
              <w:t>303.4</w:t>
            </w:r>
          </w:p>
        </w:tc>
        <w:tc>
          <w:tcPr>
            <w:tcW w:w="1418" w:type="dxa"/>
            <w:vMerge w:val="restart"/>
            <w:vAlign w:val="center"/>
          </w:tcPr>
          <w:p w:rsidR="008A5E25" w:rsidRPr="008A5E25" w:rsidRDefault="008A5E25" w:rsidP="008A5E25">
            <w:pPr>
              <w:snapToGrid w:val="0"/>
              <w:rPr>
                <w:sz w:val="18"/>
                <w:szCs w:val="18"/>
              </w:rPr>
            </w:pPr>
            <w:r w:rsidRPr="008A5E25">
              <w:rPr>
                <w:sz w:val="18"/>
                <w:szCs w:val="18"/>
              </w:rPr>
              <w:t>-</w:t>
            </w:r>
          </w:p>
        </w:tc>
      </w:tr>
      <w:tr w:rsidR="008A5E25" w:rsidRPr="008A5E25" w:rsidTr="008A5E25">
        <w:trPr>
          <w:trHeight w:val="255"/>
          <w:jc w:val="center"/>
        </w:trPr>
        <w:tc>
          <w:tcPr>
            <w:tcW w:w="1696" w:type="dxa"/>
            <w:gridSpan w:val="2"/>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1327</w:t>
            </w:r>
          </w:p>
        </w:tc>
        <w:tc>
          <w:tcPr>
            <w:tcW w:w="1418" w:type="dxa"/>
            <w:vAlign w:val="center"/>
          </w:tcPr>
          <w:p w:rsidR="008A5E25" w:rsidRPr="008A5E25" w:rsidRDefault="008A5E25" w:rsidP="008A5E25">
            <w:pPr>
              <w:snapToGrid w:val="0"/>
              <w:rPr>
                <w:sz w:val="18"/>
                <w:szCs w:val="18"/>
              </w:rPr>
            </w:pPr>
            <w:r w:rsidRPr="008A5E25">
              <w:rPr>
                <w:sz w:val="18"/>
                <w:szCs w:val="18"/>
              </w:rPr>
              <w:t>41.6</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restart"/>
            <w:vAlign w:val="center"/>
          </w:tcPr>
          <w:p w:rsidR="008A5E25" w:rsidRPr="008A5E25" w:rsidRDefault="008A5E25" w:rsidP="008A5E25">
            <w:pPr>
              <w:snapToGrid w:val="0"/>
              <w:rPr>
                <w:sz w:val="18"/>
                <w:szCs w:val="18"/>
              </w:rPr>
            </w:pPr>
            <w:r w:rsidRPr="008A5E25">
              <w:rPr>
                <w:sz w:val="18"/>
                <w:szCs w:val="18"/>
              </w:rPr>
              <w:t>Metal without thermal cutting</w:t>
            </w:r>
          </w:p>
        </w:tc>
        <w:tc>
          <w:tcPr>
            <w:tcW w:w="708" w:type="dxa"/>
            <w:vMerge w:val="restart"/>
            <w:vAlign w:val="center"/>
          </w:tcPr>
          <w:p w:rsidR="008A5E25" w:rsidRPr="008A5E25" w:rsidRDefault="008A5E25" w:rsidP="008A5E25">
            <w:pPr>
              <w:snapToGrid w:val="0"/>
              <w:rPr>
                <w:sz w:val="18"/>
                <w:szCs w:val="18"/>
              </w:rPr>
            </w:pPr>
            <w:r w:rsidRPr="008A5E25">
              <w:rPr>
                <w:sz w:val="18"/>
                <w:szCs w:val="18"/>
              </w:rPr>
              <w:t>0.45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3105</w:t>
            </w:r>
          </w:p>
        </w:tc>
        <w:tc>
          <w:tcPr>
            <w:tcW w:w="1418" w:type="dxa"/>
            <w:vAlign w:val="center"/>
          </w:tcPr>
          <w:p w:rsidR="008A5E25" w:rsidRPr="008A5E25" w:rsidRDefault="008A5E25" w:rsidP="008A5E25">
            <w:pPr>
              <w:snapToGrid w:val="0"/>
              <w:rPr>
                <w:sz w:val="18"/>
                <w:szCs w:val="18"/>
              </w:rPr>
            </w:pPr>
            <w:r w:rsidRPr="008A5E25">
              <w:rPr>
                <w:sz w:val="18"/>
                <w:szCs w:val="18"/>
              </w:rPr>
              <w:t>258</w:t>
            </w:r>
          </w:p>
        </w:tc>
        <w:tc>
          <w:tcPr>
            <w:tcW w:w="1417" w:type="dxa"/>
            <w:vMerge w:val="restart"/>
            <w:vAlign w:val="center"/>
          </w:tcPr>
          <w:p w:rsidR="008A5E25" w:rsidRPr="008A5E25" w:rsidRDefault="008A5E25" w:rsidP="008A5E25">
            <w:pPr>
              <w:snapToGrid w:val="0"/>
              <w:rPr>
                <w:sz w:val="18"/>
                <w:szCs w:val="18"/>
              </w:rPr>
            </w:pPr>
            <w:r w:rsidRPr="008A5E25">
              <w:rPr>
                <w:sz w:val="18"/>
                <w:szCs w:val="18"/>
              </w:rPr>
              <w:t>300</w:t>
            </w:r>
          </w:p>
        </w:tc>
        <w:tc>
          <w:tcPr>
            <w:tcW w:w="1418" w:type="dxa"/>
            <w:vMerge w:val="restart"/>
            <w:vAlign w:val="center"/>
          </w:tcPr>
          <w:p w:rsidR="008A5E25" w:rsidRPr="008A5E25" w:rsidRDefault="008A5E25" w:rsidP="008A5E25">
            <w:pPr>
              <w:snapToGrid w:val="0"/>
              <w:rPr>
                <w:sz w:val="18"/>
                <w:szCs w:val="18"/>
              </w:rPr>
            </w:pPr>
            <w:r w:rsidRPr="008A5E25">
              <w:rPr>
                <w:sz w:val="18"/>
                <w:szCs w:val="18"/>
              </w:rPr>
              <w:t>3.6</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1329</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0.4</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3068</w:t>
            </w:r>
          </w:p>
        </w:tc>
        <w:tc>
          <w:tcPr>
            <w:tcW w:w="1418" w:type="dxa"/>
            <w:vAlign w:val="center"/>
          </w:tcPr>
          <w:p w:rsidR="008A5E25" w:rsidRPr="008A5E25" w:rsidRDefault="008A5E25" w:rsidP="008A5E25">
            <w:pPr>
              <w:snapToGrid w:val="0"/>
              <w:rPr>
                <w:sz w:val="18"/>
                <w:szCs w:val="18"/>
              </w:rPr>
            </w:pPr>
            <w:r w:rsidRPr="008A5E25">
              <w:rPr>
                <w:sz w:val="18"/>
                <w:szCs w:val="18"/>
              </w:rPr>
              <w:t>255</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297</w:t>
            </w:r>
          </w:p>
        </w:tc>
        <w:tc>
          <w:tcPr>
            <w:tcW w:w="1418" w:type="dxa"/>
            <w:vMerge w:val="restart"/>
            <w:vAlign w:val="center"/>
          </w:tcPr>
          <w:p w:rsidR="008A5E25" w:rsidRPr="008A5E25" w:rsidRDefault="008A5E25" w:rsidP="008A5E25">
            <w:pPr>
              <w:snapToGrid w:val="0"/>
              <w:rPr>
                <w:sz w:val="18"/>
                <w:szCs w:val="18"/>
              </w:rPr>
            </w:pPr>
            <w:r w:rsidRPr="008A5E25">
              <w:rPr>
                <w:sz w:val="18"/>
                <w:szCs w:val="18"/>
              </w:rPr>
              <w:t>6.2</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1332</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3036</w:t>
            </w:r>
          </w:p>
        </w:tc>
        <w:tc>
          <w:tcPr>
            <w:tcW w:w="1418" w:type="dxa"/>
            <w:vAlign w:val="center"/>
          </w:tcPr>
          <w:p w:rsidR="008A5E25" w:rsidRPr="008A5E25" w:rsidRDefault="008A5E25" w:rsidP="008A5E25">
            <w:pPr>
              <w:snapToGrid w:val="0"/>
              <w:rPr>
                <w:sz w:val="18"/>
                <w:szCs w:val="18"/>
              </w:rPr>
            </w:pPr>
            <w:r w:rsidRPr="008A5E25">
              <w:rPr>
                <w:sz w:val="18"/>
                <w:szCs w:val="18"/>
              </w:rPr>
              <w:t>253</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295</w:t>
            </w:r>
          </w:p>
        </w:tc>
        <w:tc>
          <w:tcPr>
            <w:tcW w:w="1418" w:type="dxa"/>
            <w:vMerge w:val="restart"/>
            <w:vAlign w:val="center"/>
          </w:tcPr>
          <w:p w:rsidR="008A5E25" w:rsidRPr="008A5E25" w:rsidRDefault="008A5E25" w:rsidP="008A5E25">
            <w:pPr>
              <w:snapToGrid w:val="0"/>
              <w:rPr>
                <w:sz w:val="18"/>
                <w:szCs w:val="18"/>
              </w:rPr>
            </w:pPr>
            <w:r w:rsidRPr="008A5E25">
              <w:rPr>
                <w:sz w:val="18"/>
                <w:szCs w:val="18"/>
              </w:rPr>
              <w:t>8.3</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1336</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3005</w:t>
            </w:r>
          </w:p>
        </w:tc>
        <w:tc>
          <w:tcPr>
            <w:tcW w:w="1418" w:type="dxa"/>
            <w:vAlign w:val="center"/>
          </w:tcPr>
          <w:p w:rsidR="008A5E25" w:rsidRPr="008A5E25" w:rsidRDefault="008A5E25" w:rsidP="008A5E25">
            <w:pPr>
              <w:snapToGrid w:val="0"/>
              <w:rPr>
                <w:sz w:val="18"/>
                <w:szCs w:val="18"/>
              </w:rPr>
            </w:pPr>
            <w:r w:rsidRPr="008A5E25">
              <w:rPr>
                <w:sz w:val="18"/>
                <w:szCs w:val="18"/>
              </w:rPr>
              <w:t>251</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293</w:t>
            </w:r>
          </w:p>
        </w:tc>
        <w:tc>
          <w:tcPr>
            <w:tcW w:w="1418" w:type="dxa"/>
            <w:vMerge w:val="restart"/>
            <w:vAlign w:val="center"/>
          </w:tcPr>
          <w:p w:rsidR="008A5E25" w:rsidRPr="008A5E25" w:rsidRDefault="008A5E25" w:rsidP="008A5E25">
            <w:pPr>
              <w:snapToGrid w:val="0"/>
              <w:rPr>
                <w:sz w:val="18"/>
                <w:szCs w:val="18"/>
              </w:rPr>
            </w:pPr>
            <w:r w:rsidRPr="008A5E25">
              <w:rPr>
                <w:sz w:val="18"/>
                <w:szCs w:val="18"/>
              </w:rPr>
              <w:t>10.4</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1338</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restart"/>
            <w:vAlign w:val="center"/>
          </w:tcPr>
          <w:p w:rsidR="008A5E25" w:rsidRPr="008A5E25" w:rsidRDefault="008A5E25" w:rsidP="008A5E25">
            <w:pPr>
              <w:snapToGrid w:val="0"/>
              <w:rPr>
                <w:sz w:val="18"/>
                <w:szCs w:val="18"/>
              </w:rPr>
            </w:pPr>
            <w:r w:rsidRPr="008A5E25">
              <w:rPr>
                <w:sz w:val="18"/>
                <w:szCs w:val="18"/>
              </w:rPr>
              <w:t>Metal with thermal cutting</w:t>
            </w:r>
          </w:p>
        </w:tc>
        <w:tc>
          <w:tcPr>
            <w:tcW w:w="708" w:type="dxa"/>
            <w:vMerge w:val="restart"/>
            <w:vAlign w:val="center"/>
          </w:tcPr>
          <w:p w:rsidR="008A5E25" w:rsidRPr="008A5E25" w:rsidRDefault="008A5E25" w:rsidP="008A5E25">
            <w:pPr>
              <w:snapToGrid w:val="0"/>
              <w:rPr>
                <w:sz w:val="18"/>
                <w:szCs w:val="18"/>
              </w:rPr>
            </w:pPr>
            <w:r w:rsidRPr="008A5E25">
              <w:rPr>
                <w:sz w:val="18"/>
                <w:szCs w:val="18"/>
              </w:rPr>
              <w:t>0.45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3118</w:t>
            </w:r>
          </w:p>
        </w:tc>
        <w:tc>
          <w:tcPr>
            <w:tcW w:w="1418" w:type="dxa"/>
            <w:vAlign w:val="center"/>
          </w:tcPr>
          <w:p w:rsidR="008A5E25" w:rsidRPr="008A5E25" w:rsidRDefault="008A5E25" w:rsidP="008A5E25">
            <w:pPr>
              <w:snapToGrid w:val="0"/>
              <w:rPr>
                <w:sz w:val="18"/>
                <w:szCs w:val="18"/>
              </w:rPr>
            </w:pPr>
            <w:r w:rsidRPr="008A5E25">
              <w:rPr>
                <w:sz w:val="18"/>
                <w:szCs w:val="18"/>
              </w:rPr>
              <w:t>259</w:t>
            </w:r>
          </w:p>
        </w:tc>
        <w:tc>
          <w:tcPr>
            <w:tcW w:w="1417" w:type="dxa"/>
            <w:vMerge w:val="restart"/>
            <w:vAlign w:val="center"/>
          </w:tcPr>
          <w:p w:rsidR="008A5E25" w:rsidRPr="008A5E25" w:rsidRDefault="008A5E25" w:rsidP="008A5E25">
            <w:pPr>
              <w:snapToGrid w:val="0"/>
              <w:rPr>
                <w:sz w:val="18"/>
                <w:szCs w:val="18"/>
              </w:rPr>
            </w:pPr>
            <w:r w:rsidRPr="008A5E25">
              <w:rPr>
                <w:sz w:val="18"/>
                <w:szCs w:val="18"/>
              </w:rPr>
              <w:t>300</w:t>
            </w:r>
          </w:p>
        </w:tc>
        <w:tc>
          <w:tcPr>
            <w:tcW w:w="1418" w:type="dxa"/>
            <w:vMerge w:val="restart"/>
            <w:vAlign w:val="center"/>
          </w:tcPr>
          <w:p w:rsidR="008A5E25" w:rsidRPr="008A5E25" w:rsidRDefault="008A5E25" w:rsidP="008A5E25">
            <w:pPr>
              <w:snapToGrid w:val="0"/>
              <w:rPr>
                <w:sz w:val="18"/>
                <w:szCs w:val="18"/>
              </w:rPr>
            </w:pPr>
            <w:r w:rsidRPr="008A5E25">
              <w:rPr>
                <w:sz w:val="18"/>
                <w:szCs w:val="18"/>
              </w:rPr>
              <w:t>2.9</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1321</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0.4</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3084</w:t>
            </w:r>
          </w:p>
        </w:tc>
        <w:tc>
          <w:tcPr>
            <w:tcW w:w="1418" w:type="dxa"/>
            <w:vAlign w:val="center"/>
          </w:tcPr>
          <w:p w:rsidR="008A5E25" w:rsidRPr="008A5E25" w:rsidRDefault="008A5E25" w:rsidP="008A5E25">
            <w:pPr>
              <w:snapToGrid w:val="0"/>
              <w:rPr>
                <w:sz w:val="18"/>
                <w:szCs w:val="18"/>
              </w:rPr>
            </w:pPr>
            <w:r w:rsidRPr="008A5E25">
              <w:rPr>
                <w:sz w:val="18"/>
                <w:szCs w:val="18"/>
              </w:rPr>
              <w:t>257</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298</w:t>
            </w:r>
          </w:p>
        </w:tc>
        <w:tc>
          <w:tcPr>
            <w:tcW w:w="1418" w:type="dxa"/>
            <w:vMerge w:val="restart"/>
            <w:vAlign w:val="center"/>
          </w:tcPr>
          <w:p w:rsidR="008A5E25" w:rsidRPr="008A5E25" w:rsidRDefault="008A5E25" w:rsidP="008A5E25">
            <w:pPr>
              <w:snapToGrid w:val="0"/>
              <w:rPr>
                <w:sz w:val="18"/>
                <w:szCs w:val="18"/>
              </w:rPr>
            </w:pPr>
            <w:r w:rsidRPr="008A5E25">
              <w:rPr>
                <w:sz w:val="18"/>
                <w:szCs w:val="18"/>
              </w:rPr>
              <w:t>5.2</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1322</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3118</w:t>
            </w:r>
          </w:p>
        </w:tc>
        <w:tc>
          <w:tcPr>
            <w:tcW w:w="1418" w:type="dxa"/>
            <w:vAlign w:val="center"/>
          </w:tcPr>
          <w:p w:rsidR="008A5E25" w:rsidRPr="008A5E25" w:rsidRDefault="008A5E25" w:rsidP="008A5E25">
            <w:pPr>
              <w:snapToGrid w:val="0"/>
              <w:rPr>
                <w:sz w:val="18"/>
                <w:szCs w:val="18"/>
              </w:rPr>
            </w:pPr>
            <w:r w:rsidRPr="008A5E25">
              <w:rPr>
                <w:sz w:val="18"/>
                <w:szCs w:val="18"/>
              </w:rPr>
              <w:t>259</w:t>
            </w:r>
          </w:p>
        </w:tc>
        <w:tc>
          <w:tcPr>
            <w:tcW w:w="1417" w:type="dxa"/>
            <w:vMerge w:val="restart"/>
            <w:vAlign w:val="center"/>
          </w:tcPr>
          <w:p w:rsidR="008A5E25" w:rsidRPr="008A5E25" w:rsidRDefault="008A5E25" w:rsidP="008A5E25">
            <w:pPr>
              <w:snapToGrid w:val="0"/>
              <w:rPr>
                <w:sz w:val="18"/>
                <w:szCs w:val="18"/>
              </w:rPr>
            </w:pPr>
            <w:r w:rsidRPr="008A5E25">
              <w:rPr>
                <w:sz w:val="18"/>
                <w:szCs w:val="18"/>
              </w:rPr>
              <w:t>300</w:t>
            </w:r>
          </w:p>
        </w:tc>
        <w:tc>
          <w:tcPr>
            <w:tcW w:w="1418" w:type="dxa"/>
            <w:vMerge w:val="restart"/>
            <w:vAlign w:val="center"/>
          </w:tcPr>
          <w:p w:rsidR="008A5E25" w:rsidRPr="008A5E25" w:rsidRDefault="008A5E25" w:rsidP="008A5E25">
            <w:pPr>
              <w:snapToGrid w:val="0"/>
              <w:rPr>
                <w:sz w:val="18"/>
                <w:szCs w:val="18"/>
              </w:rPr>
            </w:pPr>
            <w:r w:rsidRPr="008A5E25">
              <w:rPr>
                <w:sz w:val="18"/>
                <w:szCs w:val="18"/>
              </w:rPr>
              <w:t>7.6</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1323</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3020</w:t>
            </w:r>
          </w:p>
        </w:tc>
        <w:tc>
          <w:tcPr>
            <w:tcW w:w="1418" w:type="dxa"/>
            <w:vAlign w:val="center"/>
          </w:tcPr>
          <w:p w:rsidR="008A5E25" w:rsidRPr="008A5E25" w:rsidRDefault="008A5E25" w:rsidP="008A5E25">
            <w:pPr>
              <w:snapToGrid w:val="0"/>
              <w:rPr>
                <w:sz w:val="18"/>
                <w:szCs w:val="18"/>
              </w:rPr>
            </w:pPr>
            <w:r w:rsidRPr="008A5E25">
              <w:rPr>
                <w:sz w:val="18"/>
                <w:szCs w:val="18"/>
              </w:rPr>
              <w:t>252</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294</w:t>
            </w:r>
          </w:p>
        </w:tc>
        <w:tc>
          <w:tcPr>
            <w:tcW w:w="1418" w:type="dxa"/>
            <w:vMerge w:val="restart"/>
            <w:vAlign w:val="center"/>
          </w:tcPr>
          <w:p w:rsidR="008A5E25" w:rsidRPr="008A5E25" w:rsidRDefault="008A5E25" w:rsidP="008A5E25">
            <w:pPr>
              <w:snapToGrid w:val="0"/>
              <w:rPr>
                <w:sz w:val="18"/>
                <w:szCs w:val="18"/>
              </w:rPr>
            </w:pPr>
            <w:r w:rsidRPr="008A5E25">
              <w:rPr>
                <w:sz w:val="18"/>
                <w:szCs w:val="18"/>
              </w:rPr>
              <w:t>9.7</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1325</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restart"/>
            <w:vAlign w:val="center"/>
          </w:tcPr>
          <w:p w:rsidR="008A5E25" w:rsidRPr="008A5E25" w:rsidRDefault="008A5E25" w:rsidP="008A5E25">
            <w:pPr>
              <w:snapToGrid w:val="0"/>
              <w:rPr>
                <w:sz w:val="18"/>
                <w:szCs w:val="18"/>
              </w:rPr>
            </w:pPr>
            <w:r w:rsidRPr="008A5E25">
              <w:rPr>
                <w:sz w:val="18"/>
                <w:szCs w:val="18"/>
              </w:rPr>
              <w:t>Wood</w:t>
            </w:r>
          </w:p>
        </w:tc>
        <w:tc>
          <w:tcPr>
            <w:tcW w:w="708" w:type="dxa"/>
            <w:vMerge w:val="restart"/>
            <w:vAlign w:val="center"/>
          </w:tcPr>
          <w:p w:rsidR="008A5E25" w:rsidRPr="008A5E25" w:rsidRDefault="008A5E25" w:rsidP="008A5E25">
            <w:pPr>
              <w:snapToGrid w:val="0"/>
              <w:rPr>
                <w:sz w:val="18"/>
                <w:szCs w:val="18"/>
              </w:rPr>
            </w:pPr>
            <w:r w:rsidRPr="008A5E25">
              <w:rPr>
                <w:sz w:val="18"/>
                <w:szCs w:val="18"/>
              </w:rPr>
              <w:t>0.45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3131</w:t>
            </w:r>
          </w:p>
        </w:tc>
        <w:tc>
          <w:tcPr>
            <w:tcW w:w="1418" w:type="dxa"/>
            <w:vAlign w:val="center"/>
          </w:tcPr>
          <w:p w:rsidR="008A5E25" w:rsidRPr="008A5E25" w:rsidRDefault="008A5E25" w:rsidP="008A5E25">
            <w:pPr>
              <w:snapToGrid w:val="0"/>
              <w:rPr>
                <w:sz w:val="18"/>
                <w:szCs w:val="18"/>
              </w:rPr>
            </w:pPr>
            <w:r w:rsidRPr="008A5E25">
              <w:rPr>
                <w:sz w:val="18"/>
                <w:szCs w:val="18"/>
              </w:rPr>
              <w:t>260</w:t>
            </w:r>
          </w:p>
        </w:tc>
        <w:tc>
          <w:tcPr>
            <w:tcW w:w="1417" w:type="dxa"/>
            <w:vMerge w:val="restart"/>
            <w:vAlign w:val="center"/>
          </w:tcPr>
          <w:p w:rsidR="008A5E25" w:rsidRPr="008A5E25" w:rsidRDefault="008A5E25" w:rsidP="008A5E25">
            <w:pPr>
              <w:snapToGrid w:val="0"/>
              <w:rPr>
                <w:sz w:val="18"/>
                <w:szCs w:val="18"/>
              </w:rPr>
            </w:pPr>
            <w:r w:rsidRPr="008A5E25">
              <w:rPr>
                <w:sz w:val="18"/>
                <w:szCs w:val="18"/>
              </w:rPr>
              <w:t>301</w:t>
            </w:r>
          </w:p>
        </w:tc>
        <w:tc>
          <w:tcPr>
            <w:tcW w:w="1418" w:type="dxa"/>
            <w:vMerge w:val="restart"/>
            <w:vAlign w:val="center"/>
          </w:tcPr>
          <w:p w:rsidR="008A5E25" w:rsidRPr="008A5E25" w:rsidRDefault="008A5E25" w:rsidP="008A5E25">
            <w:pPr>
              <w:snapToGrid w:val="0"/>
              <w:rPr>
                <w:sz w:val="18"/>
                <w:szCs w:val="18"/>
              </w:rPr>
            </w:pPr>
            <w:r w:rsidRPr="008A5E25">
              <w:rPr>
                <w:sz w:val="18"/>
                <w:szCs w:val="18"/>
              </w:rPr>
              <w:t>2</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1318</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0.4</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3097</w:t>
            </w:r>
          </w:p>
        </w:tc>
        <w:tc>
          <w:tcPr>
            <w:tcW w:w="1418" w:type="dxa"/>
            <w:vAlign w:val="center"/>
          </w:tcPr>
          <w:p w:rsidR="008A5E25" w:rsidRPr="008A5E25" w:rsidRDefault="008A5E25" w:rsidP="008A5E25">
            <w:pPr>
              <w:snapToGrid w:val="0"/>
              <w:rPr>
                <w:sz w:val="18"/>
                <w:szCs w:val="18"/>
              </w:rPr>
            </w:pPr>
            <w:r w:rsidRPr="008A5E25">
              <w:rPr>
                <w:sz w:val="18"/>
                <w:szCs w:val="18"/>
              </w:rPr>
              <w:t>258</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299</w:t>
            </w:r>
          </w:p>
        </w:tc>
        <w:tc>
          <w:tcPr>
            <w:tcW w:w="1418" w:type="dxa"/>
            <w:vMerge w:val="restart"/>
            <w:vAlign w:val="center"/>
          </w:tcPr>
          <w:p w:rsidR="008A5E25" w:rsidRPr="008A5E25" w:rsidRDefault="008A5E25" w:rsidP="008A5E25">
            <w:pPr>
              <w:snapToGrid w:val="0"/>
              <w:rPr>
                <w:sz w:val="18"/>
                <w:szCs w:val="18"/>
              </w:rPr>
            </w:pPr>
            <w:r w:rsidRPr="008A5E25">
              <w:rPr>
                <w:sz w:val="18"/>
                <w:szCs w:val="18"/>
              </w:rPr>
              <w:t>4.5</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1318</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3064</w:t>
            </w:r>
          </w:p>
        </w:tc>
        <w:tc>
          <w:tcPr>
            <w:tcW w:w="1418" w:type="dxa"/>
            <w:vAlign w:val="center"/>
          </w:tcPr>
          <w:p w:rsidR="008A5E25" w:rsidRPr="008A5E25" w:rsidRDefault="008A5E25" w:rsidP="008A5E25">
            <w:pPr>
              <w:snapToGrid w:val="0"/>
              <w:rPr>
                <w:sz w:val="18"/>
                <w:szCs w:val="18"/>
              </w:rPr>
            </w:pPr>
            <w:r w:rsidRPr="008A5E25">
              <w:rPr>
                <w:sz w:val="18"/>
                <w:szCs w:val="18"/>
              </w:rPr>
              <w:t>255</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297</w:t>
            </w:r>
          </w:p>
        </w:tc>
        <w:tc>
          <w:tcPr>
            <w:tcW w:w="1418" w:type="dxa"/>
            <w:vMerge w:val="restart"/>
            <w:vAlign w:val="center"/>
          </w:tcPr>
          <w:p w:rsidR="008A5E25" w:rsidRPr="008A5E25" w:rsidRDefault="008A5E25" w:rsidP="008A5E25">
            <w:pPr>
              <w:snapToGrid w:val="0"/>
              <w:rPr>
                <w:sz w:val="18"/>
                <w:szCs w:val="18"/>
              </w:rPr>
            </w:pPr>
            <w:r w:rsidRPr="008A5E25">
              <w:rPr>
                <w:sz w:val="18"/>
                <w:szCs w:val="18"/>
              </w:rPr>
              <w:t>6.8</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1318</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3031</w:t>
            </w:r>
          </w:p>
        </w:tc>
        <w:tc>
          <w:tcPr>
            <w:tcW w:w="1418" w:type="dxa"/>
            <w:vAlign w:val="center"/>
          </w:tcPr>
          <w:p w:rsidR="008A5E25" w:rsidRPr="008A5E25" w:rsidRDefault="008A5E25" w:rsidP="008A5E25">
            <w:pPr>
              <w:snapToGrid w:val="0"/>
              <w:rPr>
                <w:sz w:val="18"/>
                <w:szCs w:val="18"/>
              </w:rPr>
            </w:pPr>
            <w:r w:rsidRPr="008A5E25">
              <w:rPr>
                <w:sz w:val="18"/>
                <w:szCs w:val="18"/>
              </w:rPr>
              <w:t>253</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294</w:t>
            </w:r>
          </w:p>
        </w:tc>
        <w:tc>
          <w:tcPr>
            <w:tcW w:w="1418" w:type="dxa"/>
            <w:vMerge w:val="restart"/>
            <w:vAlign w:val="center"/>
          </w:tcPr>
          <w:p w:rsidR="008A5E25" w:rsidRPr="008A5E25" w:rsidRDefault="008A5E25" w:rsidP="008A5E25">
            <w:pPr>
              <w:snapToGrid w:val="0"/>
              <w:rPr>
                <w:sz w:val="18"/>
                <w:szCs w:val="18"/>
              </w:rPr>
            </w:pPr>
            <w:r w:rsidRPr="008A5E25">
              <w:rPr>
                <w:sz w:val="18"/>
                <w:szCs w:val="18"/>
              </w:rPr>
              <w:t>9.1</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1319</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restart"/>
            <w:vAlign w:val="center"/>
          </w:tcPr>
          <w:p w:rsidR="008A5E25" w:rsidRPr="008A5E25" w:rsidRDefault="008A5E25" w:rsidP="008A5E25">
            <w:pPr>
              <w:snapToGrid w:val="0"/>
              <w:rPr>
                <w:sz w:val="18"/>
                <w:szCs w:val="18"/>
              </w:rPr>
            </w:pPr>
            <w:r w:rsidRPr="008A5E25">
              <w:rPr>
                <w:sz w:val="18"/>
                <w:szCs w:val="18"/>
              </w:rPr>
              <w:t>Plastic</w:t>
            </w:r>
          </w:p>
        </w:tc>
        <w:tc>
          <w:tcPr>
            <w:tcW w:w="708" w:type="dxa"/>
            <w:vMerge w:val="restart"/>
            <w:vAlign w:val="center"/>
          </w:tcPr>
          <w:p w:rsidR="008A5E25" w:rsidRPr="008A5E25" w:rsidRDefault="008A5E25" w:rsidP="008A5E25">
            <w:pPr>
              <w:snapToGrid w:val="0"/>
              <w:rPr>
                <w:sz w:val="18"/>
                <w:szCs w:val="18"/>
              </w:rPr>
            </w:pPr>
            <w:r w:rsidRPr="008A5E25">
              <w:rPr>
                <w:sz w:val="18"/>
                <w:szCs w:val="18"/>
              </w:rPr>
              <w:t>0.45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3139</w:t>
            </w:r>
          </w:p>
        </w:tc>
        <w:tc>
          <w:tcPr>
            <w:tcW w:w="1418" w:type="dxa"/>
            <w:vAlign w:val="center"/>
          </w:tcPr>
          <w:p w:rsidR="008A5E25" w:rsidRPr="008A5E25" w:rsidRDefault="008A5E25" w:rsidP="008A5E25">
            <w:pPr>
              <w:snapToGrid w:val="0"/>
              <w:rPr>
                <w:sz w:val="18"/>
                <w:szCs w:val="18"/>
              </w:rPr>
            </w:pPr>
            <w:r w:rsidRPr="008A5E25">
              <w:rPr>
                <w:sz w:val="18"/>
                <w:szCs w:val="18"/>
              </w:rPr>
              <w:t>261</w:t>
            </w:r>
          </w:p>
        </w:tc>
        <w:tc>
          <w:tcPr>
            <w:tcW w:w="1417" w:type="dxa"/>
            <w:vMerge w:val="restart"/>
            <w:vAlign w:val="center"/>
          </w:tcPr>
          <w:p w:rsidR="008A5E25" w:rsidRPr="008A5E25" w:rsidRDefault="008A5E25" w:rsidP="008A5E25">
            <w:pPr>
              <w:snapToGrid w:val="0"/>
              <w:rPr>
                <w:sz w:val="18"/>
                <w:szCs w:val="18"/>
              </w:rPr>
            </w:pPr>
            <w:r w:rsidRPr="008A5E25">
              <w:rPr>
                <w:sz w:val="18"/>
                <w:szCs w:val="18"/>
              </w:rPr>
              <w:t>302</w:t>
            </w:r>
          </w:p>
        </w:tc>
        <w:tc>
          <w:tcPr>
            <w:tcW w:w="1418" w:type="dxa"/>
            <w:vMerge w:val="restart"/>
            <w:vAlign w:val="center"/>
          </w:tcPr>
          <w:p w:rsidR="008A5E25" w:rsidRPr="008A5E25" w:rsidRDefault="008A5E25" w:rsidP="008A5E25">
            <w:pPr>
              <w:snapToGrid w:val="0"/>
              <w:rPr>
                <w:sz w:val="18"/>
                <w:szCs w:val="18"/>
              </w:rPr>
            </w:pPr>
            <w:r w:rsidRPr="008A5E25">
              <w:rPr>
                <w:sz w:val="18"/>
                <w:szCs w:val="18"/>
              </w:rPr>
              <w:t>1.5</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1317</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0.4</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3100</w:t>
            </w:r>
          </w:p>
        </w:tc>
        <w:tc>
          <w:tcPr>
            <w:tcW w:w="1418" w:type="dxa"/>
            <w:vAlign w:val="center"/>
          </w:tcPr>
          <w:p w:rsidR="008A5E25" w:rsidRPr="008A5E25" w:rsidRDefault="008A5E25" w:rsidP="008A5E25">
            <w:pPr>
              <w:snapToGrid w:val="0"/>
              <w:rPr>
                <w:sz w:val="18"/>
                <w:szCs w:val="18"/>
              </w:rPr>
            </w:pPr>
            <w:r w:rsidRPr="008A5E25">
              <w:rPr>
                <w:sz w:val="18"/>
                <w:szCs w:val="18"/>
              </w:rPr>
              <w:t>258</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299</w:t>
            </w:r>
          </w:p>
        </w:tc>
        <w:tc>
          <w:tcPr>
            <w:tcW w:w="1418" w:type="dxa"/>
            <w:vMerge w:val="restart"/>
            <w:vAlign w:val="center"/>
          </w:tcPr>
          <w:p w:rsidR="008A5E25" w:rsidRPr="008A5E25" w:rsidRDefault="008A5E25" w:rsidP="008A5E25">
            <w:pPr>
              <w:snapToGrid w:val="0"/>
              <w:rPr>
                <w:sz w:val="18"/>
                <w:szCs w:val="18"/>
              </w:rPr>
            </w:pPr>
            <w:r w:rsidRPr="008A5E25">
              <w:rPr>
                <w:sz w:val="18"/>
                <w:szCs w:val="18"/>
              </w:rPr>
              <w:t>4.3</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1317</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0.35</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3066</w:t>
            </w:r>
          </w:p>
        </w:tc>
        <w:tc>
          <w:tcPr>
            <w:tcW w:w="1418" w:type="dxa"/>
            <w:vAlign w:val="center"/>
          </w:tcPr>
          <w:p w:rsidR="008A5E25" w:rsidRPr="008A5E25" w:rsidRDefault="008A5E25" w:rsidP="008A5E25">
            <w:pPr>
              <w:snapToGrid w:val="0"/>
              <w:rPr>
                <w:sz w:val="18"/>
                <w:szCs w:val="18"/>
              </w:rPr>
            </w:pPr>
            <w:r w:rsidRPr="008A5E25">
              <w:rPr>
                <w:sz w:val="18"/>
                <w:szCs w:val="18"/>
              </w:rPr>
              <w:t>255</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297</w:t>
            </w:r>
          </w:p>
        </w:tc>
        <w:tc>
          <w:tcPr>
            <w:tcW w:w="1418" w:type="dxa"/>
            <w:vMerge w:val="restart"/>
            <w:vAlign w:val="center"/>
          </w:tcPr>
          <w:p w:rsidR="008A5E25" w:rsidRPr="008A5E25" w:rsidRDefault="008A5E25" w:rsidP="008A5E25">
            <w:pPr>
              <w:snapToGrid w:val="0"/>
              <w:rPr>
                <w:sz w:val="18"/>
                <w:szCs w:val="18"/>
              </w:rPr>
            </w:pPr>
            <w:r w:rsidRPr="008A5E25">
              <w:rPr>
                <w:sz w:val="18"/>
                <w:szCs w:val="18"/>
              </w:rPr>
              <w:t>6.7</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1317</w:t>
            </w:r>
          </w:p>
        </w:tc>
        <w:tc>
          <w:tcPr>
            <w:tcW w:w="1418" w:type="dxa"/>
            <w:vAlign w:val="center"/>
          </w:tcPr>
          <w:p w:rsidR="008A5E25" w:rsidRPr="008A5E25" w:rsidRDefault="008A5E25" w:rsidP="008A5E25">
            <w:pPr>
              <w:snapToGrid w:val="0"/>
              <w:rPr>
                <w:sz w:val="18"/>
                <w:szCs w:val="18"/>
              </w:rPr>
            </w:pPr>
            <w:r w:rsidRPr="008A5E25">
              <w:rPr>
                <w:sz w:val="18"/>
                <w:szCs w:val="18"/>
              </w:rPr>
              <w:t>42</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restart"/>
            <w:vAlign w:val="center"/>
          </w:tcPr>
          <w:p w:rsidR="008A5E25" w:rsidRPr="008A5E25" w:rsidRDefault="008A5E25" w:rsidP="008A5E25">
            <w:pPr>
              <w:snapToGrid w:val="0"/>
              <w:rPr>
                <w:sz w:val="18"/>
                <w:szCs w:val="18"/>
              </w:rPr>
            </w:pPr>
            <w:r w:rsidRPr="008A5E25">
              <w:rPr>
                <w:sz w:val="18"/>
                <w:szCs w:val="18"/>
              </w:rPr>
              <w:t>0.3</w:t>
            </w:r>
          </w:p>
        </w:tc>
        <w:tc>
          <w:tcPr>
            <w:tcW w:w="1418" w:type="dxa"/>
            <w:vAlign w:val="center"/>
          </w:tcPr>
          <w:p w:rsidR="008A5E25" w:rsidRPr="008A5E25" w:rsidRDefault="008A5E25" w:rsidP="008A5E25">
            <w:pPr>
              <w:snapToGrid w:val="0"/>
              <w:rPr>
                <w:sz w:val="18"/>
                <w:szCs w:val="18"/>
              </w:rPr>
            </w:pPr>
            <w:r w:rsidRPr="008A5E25">
              <w:rPr>
                <w:sz w:val="18"/>
                <w:szCs w:val="18"/>
              </w:rPr>
              <w:t>Electricity</w:t>
            </w:r>
          </w:p>
        </w:tc>
        <w:tc>
          <w:tcPr>
            <w:tcW w:w="1417" w:type="dxa"/>
            <w:vAlign w:val="center"/>
          </w:tcPr>
          <w:p w:rsidR="008A5E25" w:rsidRPr="008A5E25" w:rsidRDefault="008A5E25" w:rsidP="008A5E25">
            <w:pPr>
              <w:snapToGrid w:val="0"/>
              <w:rPr>
                <w:sz w:val="18"/>
                <w:szCs w:val="18"/>
              </w:rPr>
            </w:pPr>
            <w:r w:rsidRPr="008A5E25">
              <w:rPr>
                <w:sz w:val="18"/>
                <w:szCs w:val="18"/>
              </w:rPr>
              <w:t>3033</w:t>
            </w:r>
          </w:p>
        </w:tc>
        <w:tc>
          <w:tcPr>
            <w:tcW w:w="1418" w:type="dxa"/>
            <w:vAlign w:val="center"/>
          </w:tcPr>
          <w:p w:rsidR="008A5E25" w:rsidRPr="008A5E25" w:rsidRDefault="008A5E25" w:rsidP="008A5E25">
            <w:pPr>
              <w:snapToGrid w:val="0"/>
              <w:rPr>
                <w:sz w:val="18"/>
                <w:szCs w:val="18"/>
              </w:rPr>
            </w:pPr>
            <w:r w:rsidRPr="008A5E25">
              <w:rPr>
                <w:sz w:val="18"/>
                <w:szCs w:val="18"/>
              </w:rPr>
              <w:t>253</w:t>
            </w:r>
          </w:p>
        </w:tc>
        <w:tc>
          <w:tcPr>
            <w:tcW w:w="1417" w:type="dxa"/>
            <w:vMerge w:val="restart"/>
            <w:vAlign w:val="center"/>
          </w:tcPr>
          <w:p w:rsidR="008A5E25" w:rsidRPr="008A5E25" w:rsidRDefault="008A5E25" w:rsidP="008A5E25">
            <w:pPr>
              <w:snapToGrid w:val="0"/>
              <w:rPr>
                <w:sz w:val="18"/>
                <w:szCs w:val="18"/>
              </w:rPr>
            </w:pPr>
            <w:r w:rsidRPr="008A5E25">
              <w:rPr>
                <w:sz w:val="18"/>
                <w:szCs w:val="18"/>
              </w:rPr>
              <w:t>294</w:t>
            </w:r>
          </w:p>
        </w:tc>
        <w:tc>
          <w:tcPr>
            <w:tcW w:w="1418" w:type="dxa"/>
            <w:vMerge w:val="restart"/>
            <w:vAlign w:val="center"/>
          </w:tcPr>
          <w:p w:rsidR="008A5E25" w:rsidRPr="008A5E25" w:rsidRDefault="008A5E25" w:rsidP="008A5E25">
            <w:pPr>
              <w:snapToGrid w:val="0"/>
              <w:rPr>
                <w:sz w:val="18"/>
                <w:szCs w:val="18"/>
              </w:rPr>
            </w:pPr>
            <w:r w:rsidRPr="008A5E25">
              <w:rPr>
                <w:sz w:val="18"/>
                <w:szCs w:val="18"/>
              </w:rPr>
              <w:t>9</w:t>
            </w:r>
          </w:p>
        </w:tc>
      </w:tr>
      <w:tr w:rsidR="008A5E25" w:rsidRPr="008A5E25" w:rsidTr="008A5E25">
        <w:trPr>
          <w:trHeight w:val="255"/>
          <w:jc w:val="center"/>
        </w:trPr>
        <w:tc>
          <w:tcPr>
            <w:tcW w:w="988" w:type="dxa"/>
            <w:vMerge/>
            <w:vAlign w:val="center"/>
          </w:tcPr>
          <w:p w:rsidR="008A5E25" w:rsidRPr="008A5E25" w:rsidRDefault="008A5E25" w:rsidP="008A5E25">
            <w:pPr>
              <w:snapToGrid w:val="0"/>
              <w:rPr>
                <w:sz w:val="18"/>
                <w:szCs w:val="18"/>
              </w:rPr>
            </w:pPr>
          </w:p>
        </w:tc>
        <w:tc>
          <w:tcPr>
            <w:tcW w:w="708" w:type="dxa"/>
            <w:vMerge/>
            <w:vAlign w:val="center"/>
          </w:tcPr>
          <w:p w:rsidR="008A5E25" w:rsidRPr="008A5E25" w:rsidRDefault="008A5E25" w:rsidP="008A5E25">
            <w:pPr>
              <w:snapToGrid w:val="0"/>
              <w:rPr>
                <w:sz w:val="18"/>
                <w:szCs w:val="18"/>
              </w:rPr>
            </w:pPr>
          </w:p>
        </w:tc>
        <w:tc>
          <w:tcPr>
            <w:tcW w:w="1418" w:type="dxa"/>
            <w:vAlign w:val="center"/>
          </w:tcPr>
          <w:p w:rsidR="008A5E25" w:rsidRPr="008A5E25" w:rsidRDefault="008A5E25" w:rsidP="008A5E25">
            <w:pPr>
              <w:snapToGrid w:val="0"/>
              <w:rPr>
                <w:sz w:val="18"/>
                <w:szCs w:val="18"/>
              </w:rPr>
            </w:pPr>
            <w:r w:rsidRPr="008A5E25">
              <w:rPr>
                <w:sz w:val="18"/>
                <w:szCs w:val="18"/>
              </w:rPr>
              <w:t>Gas</w:t>
            </w:r>
          </w:p>
        </w:tc>
        <w:tc>
          <w:tcPr>
            <w:tcW w:w="1417" w:type="dxa"/>
            <w:vAlign w:val="center"/>
          </w:tcPr>
          <w:p w:rsidR="008A5E25" w:rsidRPr="008A5E25" w:rsidRDefault="008A5E25" w:rsidP="008A5E25">
            <w:pPr>
              <w:snapToGrid w:val="0"/>
              <w:rPr>
                <w:sz w:val="18"/>
                <w:szCs w:val="18"/>
              </w:rPr>
            </w:pPr>
            <w:r w:rsidRPr="008A5E25">
              <w:rPr>
                <w:sz w:val="18"/>
                <w:szCs w:val="18"/>
              </w:rPr>
              <w:t>1318</w:t>
            </w:r>
          </w:p>
        </w:tc>
        <w:tc>
          <w:tcPr>
            <w:tcW w:w="1418" w:type="dxa"/>
            <w:vAlign w:val="center"/>
          </w:tcPr>
          <w:p w:rsidR="008A5E25" w:rsidRPr="008A5E25" w:rsidRDefault="008A5E25" w:rsidP="008A5E25">
            <w:pPr>
              <w:snapToGrid w:val="0"/>
              <w:rPr>
                <w:sz w:val="18"/>
                <w:szCs w:val="18"/>
              </w:rPr>
            </w:pPr>
            <w:r w:rsidRPr="008A5E25">
              <w:rPr>
                <w:sz w:val="18"/>
                <w:szCs w:val="18"/>
              </w:rPr>
              <w:t>41</w:t>
            </w:r>
          </w:p>
        </w:tc>
        <w:tc>
          <w:tcPr>
            <w:tcW w:w="1417" w:type="dxa"/>
            <w:vMerge/>
            <w:vAlign w:val="center"/>
          </w:tcPr>
          <w:p w:rsidR="008A5E25" w:rsidRPr="008A5E25" w:rsidRDefault="008A5E25" w:rsidP="008A5E25">
            <w:pPr>
              <w:snapToGrid w:val="0"/>
              <w:rPr>
                <w:sz w:val="18"/>
                <w:szCs w:val="18"/>
              </w:rPr>
            </w:pPr>
          </w:p>
        </w:tc>
        <w:tc>
          <w:tcPr>
            <w:tcW w:w="1418" w:type="dxa"/>
            <w:vMerge/>
            <w:vAlign w:val="center"/>
          </w:tcPr>
          <w:p w:rsidR="008A5E25" w:rsidRPr="008A5E25" w:rsidRDefault="008A5E25" w:rsidP="008A5E25">
            <w:pPr>
              <w:snapToGrid w:val="0"/>
              <w:rPr>
                <w:sz w:val="18"/>
                <w:szCs w:val="18"/>
              </w:rPr>
            </w:pPr>
          </w:p>
        </w:tc>
      </w:tr>
    </w:tbl>
    <w:p w:rsidR="008A5E25" w:rsidRPr="008A5E25" w:rsidRDefault="008A5E25" w:rsidP="008A5E25">
      <w:pPr>
        <w:snapToGrid w:val="0"/>
        <w:rPr>
          <w:sz w:val="8"/>
          <w:szCs w:val="8"/>
        </w:rPr>
      </w:pPr>
    </w:p>
    <w:p w:rsidR="008A5E25" w:rsidRPr="008A5E25" w:rsidRDefault="008A5E25" w:rsidP="008A5E25">
      <w:pPr>
        <w:jc w:val="both"/>
        <w:rPr>
          <w:b/>
          <w:bCs/>
          <w:sz w:val="18"/>
          <w:szCs w:val="18"/>
        </w:rPr>
      </w:pPr>
      <w:r>
        <w:rPr>
          <w:b/>
          <w:bCs/>
          <w:sz w:val="18"/>
          <w:szCs w:val="18"/>
        </w:rPr>
        <w:t xml:space="preserve">Table 7 </w:t>
      </w:r>
      <w:r w:rsidRPr="008A5E25">
        <w:rPr>
          <w:b/>
          <w:bCs/>
          <w:sz w:val="18"/>
          <w:szCs w:val="18"/>
        </w:rPr>
        <w:t xml:space="preserve"> Payback time of different kinds of windows.</w:t>
      </w:r>
    </w:p>
    <w:tbl>
      <w:tblPr>
        <w:tblStyle w:val="aff0"/>
        <w:tblW w:w="9639" w:type="dxa"/>
        <w:jc w:val="center"/>
        <w:tblLayout w:type="fixed"/>
        <w:tblLook w:val="04A0"/>
      </w:tblPr>
      <w:tblGrid>
        <w:gridCol w:w="2355"/>
        <w:gridCol w:w="1772"/>
        <w:gridCol w:w="2757"/>
        <w:gridCol w:w="2755"/>
      </w:tblGrid>
      <w:tr w:rsidR="008A5E25" w:rsidRPr="008A5E25" w:rsidTr="008A5E25">
        <w:trPr>
          <w:trHeight w:val="255"/>
          <w:jc w:val="center"/>
        </w:trPr>
        <w:tc>
          <w:tcPr>
            <w:tcW w:w="1696" w:type="dxa"/>
          </w:tcPr>
          <w:p w:rsidR="008A5E25" w:rsidRPr="008A5E25" w:rsidRDefault="008A5E25" w:rsidP="008A5E25">
            <w:pPr>
              <w:snapToGrid w:val="0"/>
              <w:rPr>
                <w:sz w:val="18"/>
                <w:szCs w:val="18"/>
              </w:rPr>
            </w:pPr>
          </w:p>
        </w:tc>
        <w:tc>
          <w:tcPr>
            <w:tcW w:w="1276" w:type="dxa"/>
          </w:tcPr>
          <w:p w:rsidR="008A5E25" w:rsidRPr="008A5E25" w:rsidRDefault="008A5E25" w:rsidP="008A5E25">
            <w:pPr>
              <w:snapToGrid w:val="0"/>
              <w:rPr>
                <w:sz w:val="18"/>
                <w:szCs w:val="18"/>
              </w:rPr>
            </w:pPr>
            <w:r w:rsidRPr="008A5E25">
              <w:rPr>
                <w:sz w:val="18"/>
                <w:szCs w:val="18"/>
              </w:rPr>
              <w:t>Total costs</w:t>
            </w:r>
            <w:r>
              <w:rPr>
                <w:rFonts w:hint="eastAsia"/>
                <w:sz w:val="18"/>
                <w:szCs w:val="18"/>
                <w:lang w:eastAsia="zh-CN"/>
              </w:rPr>
              <w:t xml:space="preserve"> </w:t>
            </w:r>
            <w:r w:rsidRPr="008A5E25">
              <w:rPr>
                <w:sz w:val="18"/>
                <w:szCs w:val="18"/>
              </w:rPr>
              <w:t>[€.10</w:t>
            </w:r>
            <w:r w:rsidRPr="008A5E25">
              <w:rPr>
                <w:sz w:val="18"/>
                <w:szCs w:val="18"/>
                <w:vertAlign w:val="superscript"/>
              </w:rPr>
              <w:t>3</w:t>
            </w:r>
            <w:r w:rsidRPr="008A5E25">
              <w:rPr>
                <w:sz w:val="18"/>
                <w:szCs w:val="18"/>
              </w:rPr>
              <w:t>]</w:t>
            </w:r>
          </w:p>
        </w:tc>
        <w:tc>
          <w:tcPr>
            <w:tcW w:w="1985" w:type="dxa"/>
          </w:tcPr>
          <w:p w:rsidR="008A5E25" w:rsidRPr="008A5E25" w:rsidRDefault="008A5E25" w:rsidP="008A5E25">
            <w:pPr>
              <w:snapToGrid w:val="0"/>
              <w:rPr>
                <w:sz w:val="18"/>
                <w:szCs w:val="18"/>
              </w:rPr>
            </w:pPr>
            <w:r w:rsidRPr="008A5E25">
              <w:rPr>
                <w:sz w:val="18"/>
                <w:szCs w:val="18"/>
              </w:rPr>
              <w:t>Increase in investment [€.10</w:t>
            </w:r>
            <w:r w:rsidRPr="008A5E25">
              <w:rPr>
                <w:sz w:val="18"/>
                <w:szCs w:val="18"/>
                <w:vertAlign w:val="superscript"/>
              </w:rPr>
              <w:t>3</w:t>
            </w:r>
            <w:r w:rsidRPr="008A5E25">
              <w:rPr>
                <w:sz w:val="18"/>
                <w:szCs w:val="18"/>
              </w:rPr>
              <w:t>]</w:t>
            </w:r>
          </w:p>
        </w:tc>
        <w:tc>
          <w:tcPr>
            <w:tcW w:w="1984" w:type="dxa"/>
          </w:tcPr>
          <w:p w:rsidR="008A5E25" w:rsidRPr="008A5E25" w:rsidRDefault="008A5E25" w:rsidP="008A5E25">
            <w:pPr>
              <w:snapToGrid w:val="0"/>
              <w:rPr>
                <w:sz w:val="18"/>
                <w:szCs w:val="18"/>
              </w:rPr>
            </w:pPr>
            <w:r w:rsidRPr="008A5E25">
              <w:rPr>
                <w:sz w:val="18"/>
                <w:szCs w:val="18"/>
              </w:rPr>
              <w:t>Payback time [years]</w:t>
            </w:r>
          </w:p>
        </w:tc>
      </w:tr>
      <w:tr w:rsidR="008A5E25" w:rsidRPr="008A5E25" w:rsidTr="008A5E25">
        <w:trPr>
          <w:trHeight w:val="255"/>
          <w:jc w:val="center"/>
        </w:trPr>
        <w:tc>
          <w:tcPr>
            <w:tcW w:w="1696" w:type="dxa"/>
          </w:tcPr>
          <w:p w:rsidR="008A5E25" w:rsidRPr="008A5E25" w:rsidRDefault="008A5E25" w:rsidP="008A5E25">
            <w:pPr>
              <w:snapToGrid w:val="0"/>
              <w:rPr>
                <w:sz w:val="18"/>
                <w:szCs w:val="18"/>
              </w:rPr>
            </w:pPr>
            <w:r w:rsidRPr="008A5E25">
              <w:rPr>
                <w:sz w:val="18"/>
                <w:szCs w:val="18"/>
              </w:rPr>
              <w:t>SF</w:t>
            </w:r>
          </w:p>
        </w:tc>
        <w:tc>
          <w:tcPr>
            <w:tcW w:w="1276" w:type="dxa"/>
          </w:tcPr>
          <w:p w:rsidR="008A5E25" w:rsidRPr="008A5E25" w:rsidRDefault="008A5E25" w:rsidP="008A5E25">
            <w:pPr>
              <w:snapToGrid w:val="0"/>
              <w:rPr>
                <w:sz w:val="18"/>
                <w:szCs w:val="18"/>
              </w:rPr>
            </w:pPr>
          </w:p>
        </w:tc>
        <w:tc>
          <w:tcPr>
            <w:tcW w:w="1985" w:type="dxa"/>
          </w:tcPr>
          <w:p w:rsidR="008A5E25" w:rsidRPr="008A5E25" w:rsidRDefault="008A5E25" w:rsidP="008A5E25">
            <w:pPr>
              <w:snapToGrid w:val="0"/>
              <w:rPr>
                <w:sz w:val="18"/>
                <w:szCs w:val="18"/>
              </w:rPr>
            </w:pPr>
          </w:p>
        </w:tc>
        <w:tc>
          <w:tcPr>
            <w:tcW w:w="1984" w:type="dxa"/>
          </w:tcPr>
          <w:p w:rsidR="008A5E25" w:rsidRPr="008A5E25" w:rsidRDefault="008A5E25" w:rsidP="008A5E25">
            <w:pPr>
              <w:snapToGrid w:val="0"/>
              <w:rPr>
                <w:sz w:val="18"/>
                <w:szCs w:val="18"/>
              </w:rPr>
            </w:pPr>
          </w:p>
        </w:tc>
      </w:tr>
      <w:tr w:rsidR="008A5E25" w:rsidRPr="008A5E25" w:rsidTr="008A5E25">
        <w:trPr>
          <w:trHeight w:val="255"/>
          <w:jc w:val="center"/>
        </w:trPr>
        <w:tc>
          <w:tcPr>
            <w:tcW w:w="1696" w:type="dxa"/>
          </w:tcPr>
          <w:p w:rsidR="008A5E25" w:rsidRPr="008A5E25" w:rsidRDefault="008A5E25" w:rsidP="008A5E25">
            <w:pPr>
              <w:snapToGrid w:val="0"/>
              <w:rPr>
                <w:sz w:val="18"/>
                <w:szCs w:val="18"/>
              </w:rPr>
            </w:pPr>
            <w:r w:rsidRPr="008A5E25">
              <w:rPr>
                <w:sz w:val="18"/>
                <w:szCs w:val="18"/>
              </w:rPr>
              <w:t>Base case (0.56)</w:t>
            </w:r>
          </w:p>
        </w:tc>
        <w:tc>
          <w:tcPr>
            <w:tcW w:w="1276" w:type="dxa"/>
          </w:tcPr>
          <w:p w:rsidR="008A5E25" w:rsidRPr="008A5E25" w:rsidRDefault="008A5E25" w:rsidP="008A5E25">
            <w:pPr>
              <w:snapToGrid w:val="0"/>
              <w:rPr>
                <w:sz w:val="18"/>
                <w:szCs w:val="18"/>
              </w:rPr>
            </w:pPr>
            <w:r w:rsidRPr="008A5E25">
              <w:rPr>
                <w:sz w:val="18"/>
                <w:szCs w:val="18"/>
              </w:rPr>
              <w:t>332</w:t>
            </w:r>
          </w:p>
        </w:tc>
        <w:tc>
          <w:tcPr>
            <w:tcW w:w="1985" w:type="dxa"/>
          </w:tcPr>
          <w:p w:rsidR="008A5E25" w:rsidRPr="008A5E25" w:rsidRDefault="008A5E25" w:rsidP="008A5E25">
            <w:pPr>
              <w:snapToGrid w:val="0"/>
              <w:rPr>
                <w:sz w:val="18"/>
                <w:szCs w:val="18"/>
              </w:rPr>
            </w:pPr>
            <w:r w:rsidRPr="008A5E25">
              <w:rPr>
                <w:sz w:val="18"/>
                <w:szCs w:val="18"/>
              </w:rPr>
              <w:t>-</w:t>
            </w:r>
          </w:p>
        </w:tc>
        <w:tc>
          <w:tcPr>
            <w:tcW w:w="1984" w:type="dxa"/>
          </w:tcPr>
          <w:p w:rsidR="008A5E25" w:rsidRPr="008A5E25" w:rsidRDefault="008A5E25" w:rsidP="008A5E25">
            <w:pPr>
              <w:snapToGrid w:val="0"/>
              <w:rPr>
                <w:sz w:val="18"/>
                <w:szCs w:val="18"/>
              </w:rPr>
            </w:pPr>
            <w:r w:rsidRPr="008A5E25">
              <w:rPr>
                <w:sz w:val="18"/>
                <w:szCs w:val="18"/>
              </w:rPr>
              <w:t>-</w:t>
            </w:r>
          </w:p>
        </w:tc>
      </w:tr>
      <w:tr w:rsidR="008A5E25" w:rsidRPr="008A5E25" w:rsidTr="008A5E25">
        <w:trPr>
          <w:trHeight w:val="255"/>
          <w:jc w:val="center"/>
        </w:trPr>
        <w:tc>
          <w:tcPr>
            <w:tcW w:w="1696" w:type="dxa"/>
          </w:tcPr>
          <w:p w:rsidR="008A5E25" w:rsidRPr="008A5E25" w:rsidRDefault="008A5E25" w:rsidP="008A5E25">
            <w:pPr>
              <w:snapToGrid w:val="0"/>
              <w:rPr>
                <w:sz w:val="18"/>
                <w:szCs w:val="18"/>
              </w:rPr>
            </w:pPr>
            <w:r w:rsidRPr="008A5E25">
              <w:rPr>
                <w:sz w:val="18"/>
                <w:szCs w:val="18"/>
              </w:rPr>
              <w:t>0.45</w:t>
            </w:r>
          </w:p>
        </w:tc>
        <w:tc>
          <w:tcPr>
            <w:tcW w:w="1276" w:type="dxa"/>
          </w:tcPr>
          <w:p w:rsidR="008A5E25" w:rsidRPr="008A5E25" w:rsidRDefault="008A5E25" w:rsidP="008A5E25">
            <w:pPr>
              <w:snapToGrid w:val="0"/>
              <w:rPr>
                <w:sz w:val="18"/>
                <w:szCs w:val="18"/>
              </w:rPr>
            </w:pPr>
            <w:r w:rsidRPr="008A5E25">
              <w:rPr>
                <w:sz w:val="18"/>
                <w:szCs w:val="18"/>
              </w:rPr>
              <w:t>362</w:t>
            </w:r>
          </w:p>
        </w:tc>
        <w:tc>
          <w:tcPr>
            <w:tcW w:w="1985" w:type="dxa"/>
          </w:tcPr>
          <w:p w:rsidR="008A5E25" w:rsidRPr="008A5E25" w:rsidRDefault="008A5E25" w:rsidP="008A5E25">
            <w:pPr>
              <w:snapToGrid w:val="0"/>
              <w:rPr>
                <w:sz w:val="18"/>
                <w:szCs w:val="18"/>
              </w:rPr>
            </w:pPr>
            <w:r w:rsidRPr="008A5E25">
              <w:rPr>
                <w:sz w:val="18"/>
                <w:szCs w:val="18"/>
              </w:rPr>
              <w:t>30.2</w:t>
            </w:r>
          </w:p>
        </w:tc>
        <w:tc>
          <w:tcPr>
            <w:tcW w:w="1984" w:type="dxa"/>
          </w:tcPr>
          <w:p w:rsidR="008A5E25" w:rsidRPr="008A5E25" w:rsidRDefault="008A5E25" w:rsidP="008A5E25">
            <w:pPr>
              <w:snapToGrid w:val="0"/>
              <w:rPr>
                <w:sz w:val="18"/>
                <w:szCs w:val="18"/>
              </w:rPr>
            </w:pPr>
            <w:r w:rsidRPr="008A5E25">
              <w:rPr>
                <w:sz w:val="18"/>
                <w:szCs w:val="18"/>
              </w:rPr>
              <w:t>8.4 - 19.7</w:t>
            </w:r>
          </w:p>
        </w:tc>
      </w:tr>
      <w:tr w:rsidR="008A5E25" w:rsidRPr="008A5E25" w:rsidTr="008A5E25">
        <w:trPr>
          <w:trHeight w:val="255"/>
          <w:jc w:val="center"/>
        </w:trPr>
        <w:tc>
          <w:tcPr>
            <w:tcW w:w="1696" w:type="dxa"/>
          </w:tcPr>
          <w:p w:rsidR="008A5E25" w:rsidRPr="008A5E25" w:rsidRDefault="008A5E25" w:rsidP="008A5E25">
            <w:pPr>
              <w:snapToGrid w:val="0"/>
              <w:rPr>
                <w:sz w:val="18"/>
                <w:szCs w:val="18"/>
              </w:rPr>
            </w:pPr>
            <w:r w:rsidRPr="008A5E25">
              <w:rPr>
                <w:sz w:val="18"/>
                <w:szCs w:val="18"/>
              </w:rPr>
              <w:t>0.4</w:t>
            </w:r>
          </w:p>
        </w:tc>
        <w:tc>
          <w:tcPr>
            <w:tcW w:w="1276" w:type="dxa"/>
          </w:tcPr>
          <w:p w:rsidR="008A5E25" w:rsidRPr="008A5E25" w:rsidRDefault="008A5E25" w:rsidP="008A5E25">
            <w:pPr>
              <w:snapToGrid w:val="0"/>
              <w:rPr>
                <w:sz w:val="18"/>
                <w:szCs w:val="18"/>
              </w:rPr>
            </w:pPr>
            <w:r w:rsidRPr="008A5E25">
              <w:rPr>
                <w:sz w:val="18"/>
                <w:szCs w:val="18"/>
              </w:rPr>
              <w:t>377</w:t>
            </w:r>
          </w:p>
        </w:tc>
        <w:tc>
          <w:tcPr>
            <w:tcW w:w="1985" w:type="dxa"/>
          </w:tcPr>
          <w:p w:rsidR="008A5E25" w:rsidRPr="008A5E25" w:rsidRDefault="008A5E25" w:rsidP="008A5E25">
            <w:pPr>
              <w:snapToGrid w:val="0"/>
              <w:rPr>
                <w:sz w:val="18"/>
                <w:szCs w:val="18"/>
              </w:rPr>
            </w:pPr>
            <w:r w:rsidRPr="008A5E25">
              <w:rPr>
                <w:sz w:val="18"/>
                <w:szCs w:val="18"/>
              </w:rPr>
              <w:t>45.3</w:t>
            </w:r>
          </w:p>
        </w:tc>
        <w:tc>
          <w:tcPr>
            <w:tcW w:w="1984" w:type="dxa"/>
          </w:tcPr>
          <w:p w:rsidR="008A5E25" w:rsidRPr="008A5E25" w:rsidRDefault="008A5E25" w:rsidP="008A5E25">
            <w:pPr>
              <w:snapToGrid w:val="0"/>
              <w:rPr>
                <w:sz w:val="18"/>
                <w:szCs w:val="18"/>
              </w:rPr>
            </w:pPr>
            <w:r w:rsidRPr="008A5E25">
              <w:rPr>
                <w:sz w:val="18"/>
                <w:szCs w:val="18"/>
              </w:rPr>
              <w:t>7.3 - 10.6</w:t>
            </w:r>
          </w:p>
        </w:tc>
      </w:tr>
      <w:tr w:rsidR="008A5E25" w:rsidRPr="008A5E25" w:rsidTr="008A5E25">
        <w:trPr>
          <w:trHeight w:val="255"/>
          <w:jc w:val="center"/>
        </w:trPr>
        <w:tc>
          <w:tcPr>
            <w:tcW w:w="1696" w:type="dxa"/>
          </w:tcPr>
          <w:p w:rsidR="008A5E25" w:rsidRPr="008A5E25" w:rsidRDefault="008A5E25" w:rsidP="008A5E25">
            <w:pPr>
              <w:snapToGrid w:val="0"/>
              <w:rPr>
                <w:sz w:val="18"/>
                <w:szCs w:val="18"/>
              </w:rPr>
            </w:pPr>
            <w:r w:rsidRPr="008A5E25">
              <w:rPr>
                <w:sz w:val="18"/>
                <w:szCs w:val="18"/>
              </w:rPr>
              <w:t>0.35</w:t>
            </w:r>
          </w:p>
        </w:tc>
        <w:tc>
          <w:tcPr>
            <w:tcW w:w="1276" w:type="dxa"/>
          </w:tcPr>
          <w:p w:rsidR="008A5E25" w:rsidRPr="008A5E25" w:rsidRDefault="008A5E25" w:rsidP="008A5E25">
            <w:pPr>
              <w:snapToGrid w:val="0"/>
              <w:rPr>
                <w:sz w:val="18"/>
                <w:szCs w:val="18"/>
              </w:rPr>
            </w:pPr>
            <w:r w:rsidRPr="008A5E25">
              <w:rPr>
                <w:sz w:val="18"/>
                <w:szCs w:val="18"/>
              </w:rPr>
              <w:t>407</w:t>
            </w:r>
          </w:p>
        </w:tc>
        <w:tc>
          <w:tcPr>
            <w:tcW w:w="1985" w:type="dxa"/>
          </w:tcPr>
          <w:p w:rsidR="008A5E25" w:rsidRPr="008A5E25" w:rsidRDefault="008A5E25" w:rsidP="008A5E25">
            <w:pPr>
              <w:snapToGrid w:val="0"/>
              <w:rPr>
                <w:sz w:val="18"/>
                <w:szCs w:val="18"/>
              </w:rPr>
            </w:pPr>
            <w:r w:rsidRPr="008A5E25">
              <w:rPr>
                <w:sz w:val="18"/>
                <w:szCs w:val="18"/>
              </w:rPr>
              <w:t>75.4</w:t>
            </w:r>
          </w:p>
        </w:tc>
        <w:tc>
          <w:tcPr>
            <w:tcW w:w="1984" w:type="dxa"/>
          </w:tcPr>
          <w:p w:rsidR="008A5E25" w:rsidRPr="008A5E25" w:rsidRDefault="008A5E25" w:rsidP="008A5E25">
            <w:pPr>
              <w:snapToGrid w:val="0"/>
              <w:rPr>
                <w:sz w:val="18"/>
                <w:szCs w:val="18"/>
              </w:rPr>
            </w:pPr>
            <w:r w:rsidRPr="008A5E25">
              <w:rPr>
                <w:sz w:val="18"/>
                <w:szCs w:val="18"/>
              </w:rPr>
              <w:t>9.1 - 11.3</w:t>
            </w:r>
          </w:p>
        </w:tc>
      </w:tr>
      <w:tr w:rsidR="008A5E25" w:rsidRPr="008A5E25" w:rsidTr="008A5E25">
        <w:trPr>
          <w:trHeight w:val="255"/>
          <w:jc w:val="center"/>
        </w:trPr>
        <w:tc>
          <w:tcPr>
            <w:tcW w:w="1696" w:type="dxa"/>
          </w:tcPr>
          <w:p w:rsidR="008A5E25" w:rsidRPr="008A5E25" w:rsidRDefault="008A5E25" w:rsidP="008A5E25">
            <w:pPr>
              <w:snapToGrid w:val="0"/>
              <w:rPr>
                <w:sz w:val="18"/>
                <w:szCs w:val="18"/>
              </w:rPr>
            </w:pPr>
            <w:r w:rsidRPr="008A5E25">
              <w:rPr>
                <w:sz w:val="18"/>
                <w:szCs w:val="18"/>
              </w:rPr>
              <w:t>0.3</w:t>
            </w:r>
          </w:p>
        </w:tc>
        <w:tc>
          <w:tcPr>
            <w:tcW w:w="1276" w:type="dxa"/>
          </w:tcPr>
          <w:p w:rsidR="008A5E25" w:rsidRPr="008A5E25" w:rsidRDefault="008A5E25" w:rsidP="008A5E25">
            <w:pPr>
              <w:snapToGrid w:val="0"/>
              <w:rPr>
                <w:sz w:val="18"/>
                <w:szCs w:val="18"/>
              </w:rPr>
            </w:pPr>
            <w:r w:rsidRPr="008A5E25">
              <w:rPr>
                <w:sz w:val="18"/>
                <w:szCs w:val="18"/>
              </w:rPr>
              <w:t>422</w:t>
            </w:r>
          </w:p>
        </w:tc>
        <w:tc>
          <w:tcPr>
            <w:tcW w:w="1985" w:type="dxa"/>
          </w:tcPr>
          <w:p w:rsidR="008A5E25" w:rsidRPr="008A5E25" w:rsidRDefault="008A5E25" w:rsidP="008A5E25">
            <w:pPr>
              <w:snapToGrid w:val="0"/>
              <w:rPr>
                <w:sz w:val="18"/>
                <w:szCs w:val="18"/>
              </w:rPr>
            </w:pPr>
            <w:r w:rsidRPr="008A5E25">
              <w:rPr>
                <w:sz w:val="18"/>
                <w:szCs w:val="18"/>
              </w:rPr>
              <w:t>91</w:t>
            </w:r>
          </w:p>
        </w:tc>
        <w:tc>
          <w:tcPr>
            <w:tcW w:w="1984" w:type="dxa"/>
          </w:tcPr>
          <w:p w:rsidR="008A5E25" w:rsidRPr="008A5E25" w:rsidRDefault="008A5E25" w:rsidP="008A5E25">
            <w:pPr>
              <w:snapToGrid w:val="0"/>
              <w:rPr>
                <w:sz w:val="18"/>
                <w:szCs w:val="18"/>
              </w:rPr>
            </w:pPr>
            <w:r w:rsidRPr="008A5E25">
              <w:rPr>
                <w:sz w:val="18"/>
                <w:szCs w:val="18"/>
              </w:rPr>
              <w:t>8.7 - 10.0</w:t>
            </w:r>
          </w:p>
        </w:tc>
      </w:tr>
    </w:tbl>
    <w:p w:rsidR="008A5E25" w:rsidRPr="008A5E25" w:rsidRDefault="008A5E25" w:rsidP="008A5E25">
      <w:pPr>
        <w:pStyle w:val="text-2"/>
        <w:snapToGrid w:val="0"/>
        <w:ind w:firstLine="120"/>
        <w:rPr>
          <w:rFonts w:eastAsiaTheme="minorEastAsia" w:hint="eastAsia"/>
          <w:sz w:val="12"/>
          <w:szCs w:val="12"/>
        </w:rPr>
      </w:pPr>
    </w:p>
    <w:p w:rsidR="008A5E25" w:rsidRDefault="008A5E25" w:rsidP="00E97D21">
      <w:pPr>
        <w:pStyle w:val="text-2"/>
        <w:rPr>
          <w:rFonts w:eastAsiaTheme="minorEastAsia"/>
        </w:rPr>
        <w:sectPr w:rsidR="008A5E25" w:rsidSect="008A5E25">
          <w:type w:val="continuous"/>
          <w:pgSz w:w="11907" w:h="16160"/>
          <w:pgMar w:top="1701" w:right="1134" w:bottom="1418" w:left="1134" w:header="1134" w:footer="1134" w:gutter="0"/>
          <w:cols w:space="425"/>
          <w:titlePg/>
          <w:docGrid w:type="lines" w:linePitch="312"/>
        </w:sectPr>
      </w:pPr>
    </w:p>
    <w:p w:rsidR="00E97D21" w:rsidRPr="002B08FC" w:rsidRDefault="00E97D21" w:rsidP="00E97D21">
      <w:pPr>
        <w:pStyle w:val="Headline-1"/>
      </w:pPr>
      <w:r>
        <w:rPr>
          <w:rFonts w:hint="eastAsia"/>
          <w:lang w:eastAsia="zh-CN"/>
        </w:rPr>
        <w:lastRenderedPageBreak/>
        <w:t xml:space="preserve">5. </w:t>
      </w:r>
      <w:r w:rsidRPr="00FB13E5">
        <w:t>Improved Passive Solutions</w:t>
      </w:r>
    </w:p>
    <w:p w:rsidR="00E97D21" w:rsidRPr="002B08FC" w:rsidRDefault="00E97D21" w:rsidP="00E97D21">
      <w:pPr>
        <w:pStyle w:val="Headlines-2"/>
        <w:spacing w:before="156" w:after="156"/>
      </w:pPr>
      <w:r>
        <w:t>5.1</w:t>
      </w:r>
      <w:r w:rsidRPr="002B08FC">
        <w:t xml:space="preserve"> Solar thermal panels for sanitary hot water and swimming pool and PV´s for electricity production.</w:t>
      </w:r>
    </w:p>
    <w:p w:rsidR="00E97D21" w:rsidRPr="002B08FC" w:rsidRDefault="00E97D21" w:rsidP="00E97D21">
      <w:pPr>
        <w:pStyle w:val="text-2"/>
      </w:pPr>
      <w:r w:rsidRPr="002B08FC">
        <w:t>Decree-Law No. 79/2006 turns out the compulsory installation of solar panels for hot water in new buildings or major rehabilitation of buildings. In this hotel they will be used for sanitary hot water and swimming pool. The main characteristics of the solar thermal panels are: optical yield of 0.74, a solar capture area of 2</w:t>
      </w:r>
      <w:r>
        <w:rPr>
          <w:rFonts w:eastAsiaTheme="minorEastAsia" w:hint="eastAsia"/>
        </w:rPr>
        <w:t xml:space="preserve"> </w:t>
      </w:r>
      <w:r w:rsidRPr="002B08FC">
        <w:t>m</w:t>
      </w:r>
      <w:r w:rsidRPr="002B08FC">
        <w:rPr>
          <w:vertAlign w:val="superscript"/>
        </w:rPr>
        <w:t>2</w:t>
      </w:r>
      <w:r w:rsidRPr="002B08FC">
        <w:t xml:space="preserve"> and a thermal loss coefficient a</w:t>
      </w:r>
      <w:r w:rsidRPr="002B08FC">
        <w:rPr>
          <w:vertAlign w:val="subscript"/>
        </w:rPr>
        <w:t>1</w:t>
      </w:r>
      <w:r w:rsidRPr="002B08FC">
        <w:t xml:space="preserve"> = 3.9 W/m</w:t>
      </w:r>
      <w:r w:rsidRPr="002B08FC">
        <w:rPr>
          <w:vertAlign w:val="superscript"/>
        </w:rPr>
        <w:t>2</w:t>
      </w:r>
      <w:r w:rsidRPr="002B08FC">
        <w:t>/K and k</w:t>
      </w:r>
      <w:r w:rsidRPr="002B08FC">
        <w:rPr>
          <w:vertAlign w:val="subscript"/>
        </w:rPr>
        <w:t>2</w:t>
      </w:r>
      <w:r w:rsidRPr="002B08FC">
        <w:t xml:space="preserve"> = 0.0</w:t>
      </w:r>
      <w:r>
        <w:t>13 W/ m</w:t>
      </w:r>
      <w:r w:rsidRPr="002B08FC">
        <w:rPr>
          <w:vertAlign w:val="superscript"/>
        </w:rPr>
        <w:t>2</w:t>
      </w:r>
      <w:r>
        <w:t>/</w:t>
      </w:r>
      <w:r w:rsidRPr="002B08FC">
        <w:t>k</w:t>
      </w:r>
      <w:r w:rsidRPr="002B08FC">
        <w:rPr>
          <w:vertAlign w:val="superscript"/>
        </w:rPr>
        <w:t>2</w:t>
      </w:r>
      <w:r w:rsidRPr="002B08FC">
        <w:t xml:space="preserve">. </w:t>
      </w:r>
    </w:p>
    <w:p w:rsidR="00E97D21" w:rsidRDefault="00E97D21" w:rsidP="00E97D21">
      <w:pPr>
        <w:pStyle w:val="text-2"/>
        <w:rPr>
          <w:rFonts w:eastAsiaTheme="minorEastAsia" w:hint="eastAsia"/>
          <w:lang w:val="en-US"/>
        </w:rPr>
      </w:pPr>
      <w:r w:rsidRPr="002B08FC">
        <w:rPr>
          <w:lang w:val="en-US"/>
        </w:rPr>
        <w:t>An economic study was also done, similar to the previous cases. For the building under consideration, if using a solar capture area higher to 200</w:t>
      </w:r>
      <w:r>
        <w:rPr>
          <w:rFonts w:eastAsiaTheme="minorEastAsia" w:hint="eastAsia"/>
          <w:lang w:val="en-US"/>
        </w:rPr>
        <w:t xml:space="preserve"> </w:t>
      </w:r>
      <w:r w:rsidRPr="002B08FC">
        <w:rPr>
          <w:lang w:val="en-US"/>
        </w:rPr>
        <w:t>m</w:t>
      </w:r>
      <w:r w:rsidRPr="00E97D21">
        <w:rPr>
          <w:vertAlign w:val="superscript"/>
          <w:lang w:val="en-US"/>
        </w:rPr>
        <w:t>2</w:t>
      </w:r>
      <w:r w:rsidRPr="002B08FC">
        <w:rPr>
          <w:lang w:val="en-US"/>
        </w:rPr>
        <w:t xml:space="preserve">, the system is no longer economically viable because the payback time is greater than the lifetime of the equipment. It should be noted that the selection criteria of this type of equipment cannot be only based on an economic assessment. It should also be taken into account the </w:t>
      </w:r>
      <w:r w:rsidRPr="002B08FC">
        <w:rPr>
          <w:lang w:val="en-US"/>
        </w:rPr>
        <w:lastRenderedPageBreak/>
        <w:t>energy contribution that this type of equipment has to each situation under review. The lower payback time is around 8 years which corresponds to an area of 25 m</w:t>
      </w:r>
      <w:r w:rsidRPr="00E97D21">
        <w:rPr>
          <w:vertAlign w:val="superscript"/>
          <w:lang w:val="en-US"/>
        </w:rPr>
        <w:t>2</w:t>
      </w:r>
      <w:r w:rsidRPr="002B08FC">
        <w:rPr>
          <w:lang w:val="en-US"/>
        </w:rPr>
        <w:t xml:space="preserve">. </w:t>
      </w:r>
      <w:r w:rsidRPr="00457A9A">
        <w:rPr>
          <w:spacing w:val="-2"/>
          <w:lang w:val="en-US"/>
        </w:rPr>
        <w:t>For this situation, the EEI is 41.5 Kgep.m</w:t>
      </w:r>
      <w:r w:rsidRPr="00457A9A">
        <w:rPr>
          <w:spacing w:val="-2"/>
          <w:vertAlign w:val="superscript"/>
          <w:lang w:val="en-US"/>
        </w:rPr>
        <w:t>-2</w:t>
      </w:r>
      <w:r w:rsidRPr="00457A9A">
        <w:rPr>
          <w:spacing w:val="-2"/>
          <w:lang w:val="en-US"/>
        </w:rPr>
        <w:t>.year</w:t>
      </w:r>
      <w:r w:rsidRPr="00457A9A">
        <w:rPr>
          <w:spacing w:val="-2"/>
          <w:vertAlign w:val="superscript"/>
          <w:lang w:val="en-US"/>
        </w:rPr>
        <w:t>-1</w:t>
      </w:r>
      <w:r w:rsidRPr="00457A9A">
        <w:rPr>
          <w:spacing w:val="-2"/>
          <w:lang w:val="en-US"/>
        </w:rPr>
        <w:t xml:space="preserve"> and becomes less than the reference value, 44.1 Kgep.m</w:t>
      </w:r>
      <w:r w:rsidRPr="00457A9A">
        <w:rPr>
          <w:spacing w:val="-2"/>
          <w:vertAlign w:val="superscript"/>
          <w:lang w:val="en-US"/>
        </w:rPr>
        <w:t>-2</w:t>
      </w:r>
      <w:r w:rsidRPr="00457A9A">
        <w:rPr>
          <w:spacing w:val="-2"/>
          <w:lang w:val="en-US"/>
        </w:rPr>
        <w:t>.year</w:t>
      </w:r>
      <w:r w:rsidRPr="00457A9A">
        <w:rPr>
          <w:spacing w:val="-2"/>
          <w:vertAlign w:val="superscript"/>
          <w:lang w:val="en-US"/>
        </w:rPr>
        <w:t>-1</w:t>
      </w:r>
      <w:r w:rsidRPr="00457A9A">
        <w:rPr>
          <w:spacing w:val="-2"/>
          <w:lang w:val="en-US"/>
        </w:rPr>
        <w:t>. So the hotel can be included in class B.</w:t>
      </w:r>
    </w:p>
    <w:p w:rsidR="00E97D21" w:rsidRDefault="00E97D21" w:rsidP="00E97D21">
      <w:pPr>
        <w:pStyle w:val="text-2"/>
        <w:rPr>
          <w:rFonts w:eastAsiaTheme="minorEastAsia" w:hint="eastAsia"/>
          <w:lang w:val="en-US"/>
        </w:rPr>
      </w:pPr>
      <w:r w:rsidRPr="002B08FC">
        <w:rPr>
          <w:lang w:val="en-US"/>
        </w:rPr>
        <w:t xml:space="preserve">The PV panels, in despite of the high initial investment, is ecologically clean, with long life and do not require great care in terms of maintenance. For the contribution of this technology in the building, the analysis was done according to the maximum power peak of the photovoltaic system to be used, where it was tested the contribution of three different types of panels, such as amorphous silicon ones, the polycrystalline silicon and their integration in the facades (BiPV). The results of the comparison between them are shown in </w:t>
      </w:r>
      <w:r w:rsidRPr="00E97D21">
        <w:rPr>
          <w:highlight w:val="red"/>
          <w:lang w:val="en-US"/>
        </w:rPr>
        <w:t>Table 8</w:t>
      </w:r>
      <w:r w:rsidRPr="002B08FC">
        <w:rPr>
          <w:lang w:val="en-US"/>
        </w:rPr>
        <w:t>.</w:t>
      </w:r>
      <w:r>
        <w:rPr>
          <w:rFonts w:eastAsiaTheme="minorEastAsia" w:hint="eastAsia"/>
          <w:lang w:val="en-US"/>
        </w:rPr>
        <w:t xml:space="preserve"> </w:t>
      </w:r>
      <w:r w:rsidRPr="002B08FC">
        <w:rPr>
          <w:lang w:val="en-US"/>
        </w:rPr>
        <w:t>The BiPVwas discard from the analysis because the modules are arranged vertically which harms much the production of these panels.</w:t>
      </w:r>
    </w:p>
    <w:p w:rsidR="0082209A" w:rsidRDefault="0082209A" w:rsidP="00E97D21">
      <w:pPr>
        <w:pStyle w:val="text-2"/>
        <w:rPr>
          <w:rFonts w:eastAsiaTheme="minorEastAsia"/>
          <w:lang w:val="en-US"/>
        </w:rPr>
        <w:sectPr w:rsidR="0082209A" w:rsidSect="00E3235C">
          <w:type w:val="continuous"/>
          <w:pgSz w:w="11907" w:h="16160"/>
          <w:pgMar w:top="1701" w:right="1134" w:bottom="1418" w:left="1134" w:header="1134" w:footer="1134" w:gutter="0"/>
          <w:cols w:num="2" w:space="425"/>
          <w:titlePg/>
          <w:docGrid w:type="lines" w:linePitch="312"/>
        </w:sectPr>
      </w:pPr>
    </w:p>
    <w:p w:rsidR="0082209A" w:rsidRPr="0082209A" w:rsidRDefault="0082209A" w:rsidP="0082209A">
      <w:pPr>
        <w:snapToGrid w:val="0"/>
        <w:jc w:val="both"/>
        <w:rPr>
          <w:rFonts w:hint="eastAsia"/>
          <w:sz w:val="12"/>
          <w:szCs w:val="12"/>
          <w:lang w:eastAsia="zh-CN"/>
        </w:rPr>
      </w:pPr>
    </w:p>
    <w:p w:rsidR="0082209A" w:rsidRPr="0082209A" w:rsidRDefault="0082209A" w:rsidP="0082209A">
      <w:pPr>
        <w:jc w:val="both"/>
        <w:rPr>
          <w:b/>
          <w:bCs/>
          <w:sz w:val="18"/>
          <w:szCs w:val="18"/>
        </w:rPr>
      </w:pPr>
      <w:r w:rsidRPr="0082209A">
        <w:rPr>
          <w:b/>
          <w:bCs/>
          <w:sz w:val="18"/>
          <w:szCs w:val="18"/>
        </w:rPr>
        <w:t>Table 8  Comparison between solar thermal panels: amorphous silicon, and polycrystalline silicon.</w:t>
      </w:r>
    </w:p>
    <w:tbl>
      <w:tblPr>
        <w:tblStyle w:val="aff0"/>
        <w:tblW w:w="9639" w:type="dxa"/>
        <w:jc w:val="center"/>
        <w:tblLayout w:type="fixed"/>
        <w:tblLook w:val="04A0"/>
      </w:tblPr>
      <w:tblGrid>
        <w:gridCol w:w="2671"/>
        <w:gridCol w:w="1005"/>
        <w:gridCol w:w="1003"/>
        <w:gridCol w:w="1005"/>
        <w:gridCol w:w="1003"/>
        <w:gridCol w:w="1005"/>
        <w:gridCol w:w="837"/>
        <w:gridCol w:w="1110"/>
      </w:tblGrid>
      <w:tr w:rsidR="0082209A" w:rsidRPr="0082209A" w:rsidTr="0082209A">
        <w:trPr>
          <w:trHeight w:val="284"/>
          <w:jc w:val="center"/>
        </w:trPr>
        <w:tc>
          <w:tcPr>
            <w:tcW w:w="8165" w:type="dxa"/>
            <w:gridSpan w:val="8"/>
            <w:vAlign w:val="center"/>
          </w:tcPr>
          <w:p w:rsidR="0082209A" w:rsidRPr="0082209A" w:rsidRDefault="0082209A" w:rsidP="0082209A">
            <w:pPr>
              <w:snapToGrid w:val="0"/>
              <w:rPr>
                <w:sz w:val="18"/>
                <w:szCs w:val="18"/>
              </w:rPr>
            </w:pPr>
            <w:r w:rsidRPr="0082209A">
              <w:rPr>
                <w:sz w:val="18"/>
                <w:szCs w:val="18"/>
              </w:rPr>
              <w:t>Amorphous silicon panels</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Power peak [kW</w:t>
            </w:r>
            <w:r w:rsidRPr="0082209A">
              <w:rPr>
                <w:sz w:val="18"/>
                <w:szCs w:val="18"/>
                <w:vertAlign w:val="subscript"/>
              </w:rPr>
              <w:t>p</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3.68</w:t>
            </w:r>
          </w:p>
        </w:tc>
        <w:tc>
          <w:tcPr>
            <w:tcW w:w="851" w:type="dxa"/>
            <w:vAlign w:val="center"/>
          </w:tcPr>
          <w:p w:rsidR="0082209A" w:rsidRPr="0082209A" w:rsidRDefault="0082209A" w:rsidP="0082209A">
            <w:pPr>
              <w:snapToGrid w:val="0"/>
              <w:rPr>
                <w:sz w:val="18"/>
                <w:szCs w:val="18"/>
              </w:rPr>
            </w:pPr>
            <w:r w:rsidRPr="0082209A">
              <w:rPr>
                <w:sz w:val="18"/>
                <w:szCs w:val="18"/>
              </w:rPr>
              <w:t>10</w:t>
            </w:r>
          </w:p>
        </w:tc>
        <w:tc>
          <w:tcPr>
            <w:tcW w:w="850" w:type="dxa"/>
            <w:vAlign w:val="center"/>
          </w:tcPr>
          <w:p w:rsidR="0082209A" w:rsidRPr="0082209A" w:rsidRDefault="0082209A" w:rsidP="0082209A">
            <w:pPr>
              <w:snapToGrid w:val="0"/>
              <w:rPr>
                <w:sz w:val="18"/>
                <w:szCs w:val="18"/>
              </w:rPr>
            </w:pPr>
            <w:r w:rsidRPr="0082209A">
              <w:rPr>
                <w:sz w:val="18"/>
                <w:szCs w:val="18"/>
              </w:rPr>
              <w:t>20</w:t>
            </w:r>
          </w:p>
        </w:tc>
        <w:tc>
          <w:tcPr>
            <w:tcW w:w="851" w:type="dxa"/>
            <w:vAlign w:val="center"/>
          </w:tcPr>
          <w:p w:rsidR="0082209A" w:rsidRPr="0082209A" w:rsidRDefault="0082209A" w:rsidP="0082209A">
            <w:pPr>
              <w:snapToGrid w:val="0"/>
              <w:rPr>
                <w:sz w:val="18"/>
                <w:szCs w:val="18"/>
              </w:rPr>
            </w:pPr>
            <w:r w:rsidRPr="0082209A">
              <w:rPr>
                <w:sz w:val="18"/>
                <w:szCs w:val="18"/>
              </w:rPr>
              <w:t>30</w:t>
            </w:r>
          </w:p>
        </w:tc>
        <w:tc>
          <w:tcPr>
            <w:tcW w:w="709" w:type="dxa"/>
            <w:vAlign w:val="center"/>
          </w:tcPr>
          <w:p w:rsidR="0082209A" w:rsidRPr="0082209A" w:rsidRDefault="0082209A" w:rsidP="0082209A">
            <w:pPr>
              <w:snapToGrid w:val="0"/>
              <w:rPr>
                <w:sz w:val="18"/>
                <w:szCs w:val="18"/>
              </w:rPr>
            </w:pPr>
            <w:r w:rsidRPr="0082209A">
              <w:rPr>
                <w:sz w:val="18"/>
                <w:szCs w:val="18"/>
              </w:rPr>
              <w:t>100</w:t>
            </w:r>
          </w:p>
        </w:tc>
        <w:tc>
          <w:tcPr>
            <w:tcW w:w="940" w:type="dxa"/>
            <w:vAlign w:val="center"/>
          </w:tcPr>
          <w:p w:rsidR="0082209A" w:rsidRPr="0082209A" w:rsidRDefault="0082209A" w:rsidP="0082209A">
            <w:pPr>
              <w:snapToGrid w:val="0"/>
              <w:rPr>
                <w:sz w:val="18"/>
                <w:szCs w:val="18"/>
              </w:rPr>
            </w:pPr>
            <w:r w:rsidRPr="0082209A">
              <w:rPr>
                <w:sz w:val="18"/>
                <w:szCs w:val="18"/>
              </w:rPr>
              <w:t>150</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Solar capture area [m</w:t>
            </w:r>
            <w:r w:rsidRPr="0082209A">
              <w:rPr>
                <w:sz w:val="18"/>
                <w:szCs w:val="18"/>
                <w:vertAlign w:val="superscript"/>
              </w:rPr>
              <w:t>2</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62.92</w:t>
            </w:r>
          </w:p>
        </w:tc>
        <w:tc>
          <w:tcPr>
            <w:tcW w:w="851" w:type="dxa"/>
            <w:vAlign w:val="center"/>
          </w:tcPr>
          <w:p w:rsidR="0082209A" w:rsidRPr="0082209A" w:rsidRDefault="0082209A" w:rsidP="0082209A">
            <w:pPr>
              <w:snapToGrid w:val="0"/>
              <w:rPr>
                <w:sz w:val="18"/>
                <w:szCs w:val="18"/>
              </w:rPr>
            </w:pPr>
            <w:r w:rsidRPr="0082209A">
              <w:rPr>
                <w:sz w:val="18"/>
                <w:szCs w:val="18"/>
              </w:rPr>
              <w:t>171.6</w:t>
            </w:r>
          </w:p>
        </w:tc>
        <w:tc>
          <w:tcPr>
            <w:tcW w:w="850" w:type="dxa"/>
            <w:vAlign w:val="center"/>
          </w:tcPr>
          <w:p w:rsidR="0082209A" w:rsidRPr="0082209A" w:rsidRDefault="0082209A" w:rsidP="0082209A">
            <w:pPr>
              <w:snapToGrid w:val="0"/>
              <w:rPr>
                <w:sz w:val="18"/>
                <w:szCs w:val="18"/>
              </w:rPr>
            </w:pPr>
            <w:r w:rsidRPr="0082209A">
              <w:rPr>
                <w:sz w:val="18"/>
                <w:szCs w:val="18"/>
              </w:rPr>
              <w:t>343.2</w:t>
            </w:r>
          </w:p>
        </w:tc>
        <w:tc>
          <w:tcPr>
            <w:tcW w:w="851" w:type="dxa"/>
            <w:vAlign w:val="center"/>
          </w:tcPr>
          <w:p w:rsidR="0082209A" w:rsidRPr="0082209A" w:rsidRDefault="0082209A" w:rsidP="0082209A">
            <w:pPr>
              <w:snapToGrid w:val="0"/>
              <w:rPr>
                <w:sz w:val="18"/>
                <w:szCs w:val="18"/>
              </w:rPr>
            </w:pPr>
            <w:r w:rsidRPr="0082209A">
              <w:rPr>
                <w:sz w:val="18"/>
                <w:szCs w:val="18"/>
              </w:rPr>
              <w:t>500.5</w:t>
            </w:r>
          </w:p>
        </w:tc>
        <w:tc>
          <w:tcPr>
            <w:tcW w:w="709" w:type="dxa"/>
            <w:vAlign w:val="center"/>
          </w:tcPr>
          <w:p w:rsidR="0082209A" w:rsidRPr="0082209A" w:rsidRDefault="0082209A" w:rsidP="0082209A">
            <w:pPr>
              <w:snapToGrid w:val="0"/>
              <w:rPr>
                <w:sz w:val="18"/>
                <w:szCs w:val="18"/>
              </w:rPr>
            </w:pPr>
            <w:r w:rsidRPr="0082209A">
              <w:rPr>
                <w:sz w:val="18"/>
                <w:szCs w:val="18"/>
              </w:rPr>
              <w:t>1716</w:t>
            </w:r>
          </w:p>
        </w:tc>
        <w:tc>
          <w:tcPr>
            <w:tcW w:w="940" w:type="dxa"/>
            <w:vAlign w:val="center"/>
          </w:tcPr>
          <w:p w:rsidR="0082209A" w:rsidRPr="0082209A" w:rsidRDefault="0082209A" w:rsidP="0082209A">
            <w:pPr>
              <w:snapToGrid w:val="0"/>
              <w:rPr>
                <w:sz w:val="18"/>
                <w:szCs w:val="18"/>
              </w:rPr>
            </w:pPr>
            <w:r w:rsidRPr="0082209A">
              <w:rPr>
                <w:sz w:val="18"/>
                <w:szCs w:val="18"/>
              </w:rPr>
              <w:t>2516.8</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Nº of modules</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44</w:t>
            </w:r>
          </w:p>
        </w:tc>
        <w:tc>
          <w:tcPr>
            <w:tcW w:w="851" w:type="dxa"/>
            <w:vAlign w:val="center"/>
          </w:tcPr>
          <w:p w:rsidR="0082209A" w:rsidRPr="0082209A" w:rsidRDefault="0082209A" w:rsidP="0082209A">
            <w:pPr>
              <w:snapToGrid w:val="0"/>
              <w:rPr>
                <w:sz w:val="18"/>
                <w:szCs w:val="18"/>
              </w:rPr>
            </w:pPr>
            <w:r w:rsidRPr="0082209A">
              <w:rPr>
                <w:sz w:val="18"/>
                <w:szCs w:val="18"/>
              </w:rPr>
              <w:t>120</w:t>
            </w:r>
          </w:p>
        </w:tc>
        <w:tc>
          <w:tcPr>
            <w:tcW w:w="850" w:type="dxa"/>
            <w:vAlign w:val="center"/>
          </w:tcPr>
          <w:p w:rsidR="0082209A" w:rsidRPr="0082209A" w:rsidRDefault="0082209A" w:rsidP="0082209A">
            <w:pPr>
              <w:snapToGrid w:val="0"/>
              <w:rPr>
                <w:sz w:val="18"/>
                <w:szCs w:val="18"/>
              </w:rPr>
            </w:pPr>
            <w:r w:rsidRPr="0082209A">
              <w:rPr>
                <w:sz w:val="18"/>
                <w:szCs w:val="18"/>
              </w:rPr>
              <w:t>240</w:t>
            </w:r>
          </w:p>
        </w:tc>
        <w:tc>
          <w:tcPr>
            <w:tcW w:w="851" w:type="dxa"/>
            <w:vAlign w:val="center"/>
          </w:tcPr>
          <w:p w:rsidR="0082209A" w:rsidRPr="0082209A" w:rsidRDefault="0082209A" w:rsidP="0082209A">
            <w:pPr>
              <w:snapToGrid w:val="0"/>
              <w:rPr>
                <w:sz w:val="18"/>
                <w:szCs w:val="18"/>
              </w:rPr>
            </w:pPr>
            <w:r w:rsidRPr="0082209A">
              <w:rPr>
                <w:sz w:val="18"/>
                <w:szCs w:val="18"/>
              </w:rPr>
              <w:t>350</w:t>
            </w:r>
          </w:p>
        </w:tc>
        <w:tc>
          <w:tcPr>
            <w:tcW w:w="709" w:type="dxa"/>
            <w:vAlign w:val="center"/>
          </w:tcPr>
          <w:p w:rsidR="0082209A" w:rsidRPr="0082209A" w:rsidRDefault="0082209A" w:rsidP="0082209A">
            <w:pPr>
              <w:snapToGrid w:val="0"/>
              <w:rPr>
                <w:sz w:val="18"/>
                <w:szCs w:val="18"/>
              </w:rPr>
            </w:pPr>
            <w:r w:rsidRPr="0082209A">
              <w:rPr>
                <w:sz w:val="18"/>
                <w:szCs w:val="18"/>
              </w:rPr>
              <w:t>1200</w:t>
            </w:r>
          </w:p>
        </w:tc>
        <w:tc>
          <w:tcPr>
            <w:tcW w:w="940" w:type="dxa"/>
            <w:vAlign w:val="center"/>
          </w:tcPr>
          <w:p w:rsidR="0082209A" w:rsidRPr="0082209A" w:rsidRDefault="0082209A" w:rsidP="0082209A">
            <w:pPr>
              <w:snapToGrid w:val="0"/>
              <w:rPr>
                <w:sz w:val="18"/>
                <w:szCs w:val="18"/>
              </w:rPr>
            </w:pPr>
            <w:r w:rsidRPr="0082209A">
              <w:rPr>
                <w:sz w:val="18"/>
                <w:szCs w:val="18"/>
              </w:rPr>
              <w:t>1760</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Produced energy [MWh.year</w:t>
            </w:r>
            <w:r w:rsidRPr="0082209A">
              <w:rPr>
                <w:sz w:val="18"/>
                <w:szCs w:val="18"/>
                <w:vertAlign w:val="superscript"/>
              </w:rPr>
              <w:t>-1</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6.6</w:t>
            </w:r>
          </w:p>
        </w:tc>
        <w:tc>
          <w:tcPr>
            <w:tcW w:w="851" w:type="dxa"/>
            <w:vAlign w:val="center"/>
          </w:tcPr>
          <w:p w:rsidR="0082209A" w:rsidRPr="0082209A" w:rsidRDefault="0082209A" w:rsidP="0082209A">
            <w:pPr>
              <w:snapToGrid w:val="0"/>
              <w:rPr>
                <w:sz w:val="18"/>
                <w:szCs w:val="18"/>
              </w:rPr>
            </w:pPr>
            <w:r w:rsidRPr="0082209A">
              <w:rPr>
                <w:sz w:val="18"/>
                <w:szCs w:val="18"/>
              </w:rPr>
              <w:t>18.3</w:t>
            </w:r>
          </w:p>
        </w:tc>
        <w:tc>
          <w:tcPr>
            <w:tcW w:w="850" w:type="dxa"/>
            <w:vAlign w:val="center"/>
          </w:tcPr>
          <w:p w:rsidR="0082209A" w:rsidRPr="0082209A" w:rsidRDefault="0082209A" w:rsidP="0082209A">
            <w:pPr>
              <w:snapToGrid w:val="0"/>
              <w:rPr>
                <w:sz w:val="18"/>
                <w:szCs w:val="18"/>
              </w:rPr>
            </w:pPr>
            <w:r w:rsidRPr="0082209A">
              <w:rPr>
                <w:sz w:val="18"/>
                <w:szCs w:val="18"/>
              </w:rPr>
              <w:t>36</w:t>
            </w:r>
          </w:p>
        </w:tc>
        <w:tc>
          <w:tcPr>
            <w:tcW w:w="851" w:type="dxa"/>
            <w:vAlign w:val="center"/>
          </w:tcPr>
          <w:p w:rsidR="0082209A" w:rsidRPr="0082209A" w:rsidRDefault="0082209A" w:rsidP="0082209A">
            <w:pPr>
              <w:snapToGrid w:val="0"/>
              <w:rPr>
                <w:sz w:val="18"/>
                <w:szCs w:val="18"/>
              </w:rPr>
            </w:pPr>
            <w:r w:rsidRPr="0082209A">
              <w:rPr>
                <w:sz w:val="18"/>
                <w:szCs w:val="18"/>
              </w:rPr>
              <w:t>53</w:t>
            </w:r>
          </w:p>
        </w:tc>
        <w:tc>
          <w:tcPr>
            <w:tcW w:w="709" w:type="dxa"/>
            <w:vAlign w:val="center"/>
          </w:tcPr>
          <w:p w:rsidR="0082209A" w:rsidRPr="0082209A" w:rsidRDefault="0082209A" w:rsidP="0082209A">
            <w:pPr>
              <w:snapToGrid w:val="0"/>
              <w:rPr>
                <w:sz w:val="18"/>
                <w:szCs w:val="18"/>
              </w:rPr>
            </w:pPr>
            <w:r w:rsidRPr="0082209A">
              <w:rPr>
                <w:sz w:val="18"/>
                <w:szCs w:val="18"/>
              </w:rPr>
              <w:t>186</w:t>
            </w:r>
          </w:p>
        </w:tc>
        <w:tc>
          <w:tcPr>
            <w:tcW w:w="940" w:type="dxa"/>
            <w:vAlign w:val="center"/>
          </w:tcPr>
          <w:p w:rsidR="0082209A" w:rsidRPr="0082209A" w:rsidRDefault="0082209A" w:rsidP="0082209A">
            <w:pPr>
              <w:snapToGrid w:val="0"/>
              <w:rPr>
                <w:sz w:val="18"/>
                <w:szCs w:val="18"/>
              </w:rPr>
            </w:pPr>
            <w:r w:rsidRPr="0082209A">
              <w:rPr>
                <w:sz w:val="18"/>
                <w:szCs w:val="18"/>
              </w:rPr>
              <w:t>268</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vertAlign w:val="superscript"/>
              </w:rPr>
            </w:pPr>
            <w:r w:rsidRPr="0082209A">
              <w:rPr>
                <w:sz w:val="18"/>
                <w:szCs w:val="18"/>
              </w:rPr>
              <w:t>EEI</w:t>
            </w:r>
            <w:r w:rsidRPr="0082209A">
              <w:rPr>
                <w:sz w:val="18"/>
                <w:szCs w:val="18"/>
                <w:vertAlign w:val="subscript"/>
              </w:rPr>
              <w:t>nominal</w:t>
            </w:r>
            <w:r w:rsidRPr="0082209A">
              <w:rPr>
                <w:sz w:val="18"/>
                <w:szCs w:val="18"/>
              </w:rPr>
              <w:t>[Kgep.m-</w:t>
            </w:r>
            <w:r w:rsidRPr="0082209A">
              <w:rPr>
                <w:sz w:val="18"/>
                <w:szCs w:val="18"/>
                <w:vertAlign w:val="superscript"/>
              </w:rPr>
              <w:t>2</w:t>
            </w:r>
            <w:r w:rsidRPr="0082209A">
              <w:rPr>
                <w:sz w:val="18"/>
                <w:szCs w:val="18"/>
              </w:rPr>
              <w:t>year</w:t>
            </w:r>
            <w:r w:rsidRPr="0082209A">
              <w:rPr>
                <w:sz w:val="18"/>
                <w:szCs w:val="18"/>
                <w:vertAlign w:val="superscript"/>
              </w:rPr>
              <w:t>-1</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44.25</w:t>
            </w:r>
          </w:p>
        </w:tc>
        <w:tc>
          <w:tcPr>
            <w:tcW w:w="850" w:type="dxa"/>
            <w:vAlign w:val="center"/>
          </w:tcPr>
          <w:p w:rsidR="0082209A" w:rsidRPr="0082209A" w:rsidRDefault="0082209A" w:rsidP="0082209A">
            <w:pPr>
              <w:snapToGrid w:val="0"/>
              <w:rPr>
                <w:sz w:val="18"/>
                <w:szCs w:val="18"/>
              </w:rPr>
            </w:pPr>
            <w:r w:rsidRPr="0082209A">
              <w:rPr>
                <w:sz w:val="18"/>
                <w:szCs w:val="18"/>
              </w:rPr>
              <w:t>44.16</w:t>
            </w:r>
          </w:p>
        </w:tc>
        <w:tc>
          <w:tcPr>
            <w:tcW w:w="851" w:type="dxa"/>
            <w:vAlign w:val="center"/>
          </w:tcPr>
          <w:p w:rsidR="0082209A" w:rsidRPr="0082209A" w:rsidRDefault="0082209A" w:rsidP="0082209A">
            <w:pPr>
              <w:snapToGrid w:val="0"/>
              <w:rPr>
                <w:sz w:val="18"/>
                <w:szCs w:val="18"/>
              </w:rPr>
            </w:pPr>
            <w:r w:rsidRPr="0082209A">
              <w:rPr>
                <w:sz w:val="18"/>
                <w:szCs w:val="18"/>
              </w:rPr>
              <w:t>44</w:t>
            </w:r>
          </w:p>
        </w:tc>
        <w:tc>
          <w:tcPr>
            <w:tcW w:w="850" w:type="dxa"/>
            <w:vAlign w:val="center"/>
          </w:tcPr>
          <w:p w:rsidR="0082209A" w:rsidRPr="0082209A" w:rsidRDefault="0082209A" w:rsidP="0082209A">
            <w:pPr>
              <w:snapToGrid w:val="0"/>
              <w:rPr>
                <w:sz w:val="18"/>
                <w:szCs w:val="18"/>
              </w:rPr>
            </w:pPr>
            <w:r w:rsidRPr="0082209A">
              <w:rPr>
                <w:sz w:val="18"/>
                <w:szCs w:val="18"/>
              </w:rPr>
              <w:t>43.8</w:t>
            </w:r>
          </w:p>
        </w:tc>
        <w:tc>
          <w:tcPr>
            <w:tcW w:w="851" w:type="dxa"/>
            <w:vAlign w:val="center"/>
          </w:tcPr>
          <w:p w:rsidR="0082209A" w:rsidRPr="0082209A" w:rsidRDefault="0082209A" w:rsidP="0082209A">
            <w:pPr>
              <w:snapToGrid w:val="0"/>
              <w:rPr>
                <w:sz w:val="18"/>
                <w:szCs w:val="18"/>
              </w:rPr>
            </w:pPr>
            <w:r w:rsidRPr="0082209A">
              <w:rPr>
                <w:sz w:val="18"/>
                <w:szCs w:val="18"/>
              </w:rPr>
              <w:t>45.6</w:t>
            </w:r>
          </w:p>
        </w:tc>
        <w:tc>
          <w:tcPr>
            <w:tcW w:w="709" w:type="dxa"/>
            <w:vAlign w:val="center"/>
          </w:tcPr>
          <w:p w:rsidR="0082209A" w:rsidRPr="0082209A" w:rsidRDefault="0082209A" w:rsidP="0082209A">
            <w:pPr>
              <w:snapToGrid w:val="0"/>
              <w:rPr>
                <w:sz w:val="18"/>
                <w:szCs w:val="18"/>
              </w:rPr>
            </w:pPr>
            <w:r w:rsidRPr="0082209A">
              <w:rPr>
                <w:sz w:val="18"/>
                <w:szCs w:val="18"/>
              </w:rPr>
              <w:t>42</w:t>
            </w:r>
          </w:p>
        </w:tc>
        <w:tc>
          <w:tcPr>
            <w:tcW w:w="940" w:type="dxa"/>
            <w:vAlign w:val="center"/>
          </w:tcPr>
          <w:p w:rsidR="0082209A" w:rsidRPr="0082209A" w:rsidRDefault="0082209A" w:rsidP="0082209A">
            <w:pPr>
              <w:snapToGrid w:val="0"/>
              <w:rPr>
                <w:sz w:val="18"/>
                <w:szCs w:val="18"/>
              </w:rPr>
            </w:pPr>
            <w:r w:rsidRPr="0082209A">
              <w:rPr>
                <w:sz w:val="18"/>
                <w:szCs w:val="18"/>
              </w:rPr>
              <w:t>41</w:t>
            </w:r>
          </w:p>
        </w:tc>
      </w:tr>
      <w:tr w:rsidR="0082209A" w:rsidRPr="0082209A" w:rsidTr="0082209A">
        <w:trPr>
          <w:trHeight w:val="284"/>
          <w:jc w:val="center"/>
        </w:trPr>
        <w:tc>
          <w:tcPr>
            <w:tcW w:w="8165" w:type="dxa"/>
            <w:gridSpan w:val="8"/>
            <w:vAlign w:val="center"/>
          </w:tcPr>
          <w:p w:rsidR="0082209A" w:rsidRPr="0082209A" w:rsidRDefault="0082209A" w:rsidP="0082209A">
            <w:pPr>
              <w:snapToGrid w:val="0"/>
              <w:rPr>
                <w:sz w:val="18"/>
                <w:szCs w:val="18"/>
              </w:rPr>
            </w:pPr>
            <w:r w:rsidRPr="0082209A">
              <w:rPr>
                <w:sz w:val="18"/>
                <w:szCs w:val="18"/>
              </w:rPr>
              <w:t>Polycrystalline silicon panels</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Power peak [kW</w:t>
            </w:r>
            <w:r w:rsidRPr="0082209A">
              <w:rPr>
                <w:sz w:val="18"/>
                <w:szCs w:val="18"/>
                <w:vertAlign w:val="subscript"/>
              </w:rPr>
              <w:t>p</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3.68</w:t>
            </w:r>
          </w:p>
        </w:tc>
        <w:tc>
          <w:tcPr>
            <w:tcW w:w="851" w:type="dxa"/>
            <w:vAlign w:val="center"/>
          </w:tcPr>
          <w:p w:rsidR="0082209A" w:rsidRPr="0082209A" w:rsidRDefault="0082209A" w:rsidP="0082209A">
            <w:pPr>
              <w:snapToGrid w:val="0"/>
              <w:rPr>
                <w:sz w:val="18"/>
                <w:szCs w:val="18"/>
              </w:rPr>
            </w:pPr>
            <w:r w:rsidRPr="0082209A">
              <w:rPr>
                <w:sz w:val="18"/>
                <w:szCs w:val="18"/>
              </w:rPr>
              <w:t>10</w:t>
            </w:r>
          </w:p>
        </w:tc>
        <w:tc>
          <w:tcPr>
            <w:tcW w:w="850" w:type="dxa"/>
            <w:vAlign w:val="center"/>
          </w:tcPr>
          <w:p w:rsidR="0082209A" w:rsidRPr="0082209A" w:rsidRDefault="0082209A" w:rsidP="0082209A">
            <w:pPr>
              <w:snapToGrid w:val="0"/>
              <w:rPr>
                <w:sz w:val="18"/>
                <w:szCs w:val="18"/>
              </w:rPr>
            </w:pPr>
            <w:r w:rsidRPr="0082209A">
              <w:rPr>
                <w:sz w:val="18"/>
                <w:szCs w:val="18"/>
              </w:rPr>
              <w:t>20</w:t>
            </w:r>
          </w:p>
        </w:tc>
        <w:tc>
          <w:tcPr>
            <w:tcW w:w="851" w:type="dxa"/>
            <w:vAlign w:val="center"/>
          </w:tcPr>
          <w:p w:rsidR="0082209A" w:rsidRPr="0082209A" w:rsidRDefault="0082209A" w:rsidP="0082209A">
            <w:pPr>
              <w:snapToGrid w:val="0"/>
              <w:rPr>
                <w:sz w:val="18"/>
                <w:szCs w:val="18"/>
              </w:rPr>
            </w:pPr>
            <w:r w:rsidRPr="0082209A">
              <w:rPr>
                <w:sz w:val="18"/>
                <w:szCs w:val="18"/>
              </w:rPr>
              <w:t>30</w:t>
            </w:r>
          </w:p>
        </w:tc>
        <w:tc>
          <w:tcPr>
            <w:tcW w:w="709" w:type="dxa"/>
            <w:vAlign w:val="center"/>
          </w:tcPr>
          <w:p w:rsidR="0082209A" w:rsidRPr="0082209A" w:rsidRDefault="0082209A" w:rsidP="0082209A">
            <w:pPr>
              <w:snapToGrid w:val="0"/>
              <w:rPr>
                <w:sz w:val="18"/>
                <w:szCs w:val="18"/>
              </w:rPr>
            </w:pPr>
            <w:r w:rsidRPr="0082209A">
              <w:rPr>
                <w:sz w:val="18"/>
                <w:szCs w:val="18"/>
              </w:rPr>
              <w:t>100</w:t>
            </w:r>
          </w:p>
        </w:tc>
        <w:tc>
          <w:tcPr>
            <w:tcW w:w="940" w:type="dxa"/>
            <w:vAlign w:val="center"/>
          </w:tcPr>
          <w:p w:rsidR="0082209A" w:rsidRPr="0082209A" w:rsidRDefault="0082209A" w:rsidP="0082209A">
            <w:pPr>
              <w:snapToGrid w:val="0"/>
              <w:rPr>
                <w:sz w:val="18"/>
                <w:szCs w:val="18"/>
              </w:rPr>
            </w:pPr>
            <w:r w:rsidRPr="0082209A">
              <w:rPr>
                <w:sz w:val="18"/>
                <w:szCs w:val="18"/>
              </w:rPr>
              <w:t>150</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Solar capture area [m</w:t>
            </w:r>
            <w:r w:rsidRPr="0082209A">
              <w:rPr>
                <w:sz w:val="18"/>
                <w:szCs w:val="18"/>
                <w:vertAlign w:val="superscript"/>
              </w:rPr>
              <w:t>2</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28.9</w:t>
            </w:r>
          </w:p>
        </w:tc>
        <w:tc>
          <w:tcPr>
            <w:tcW w:w="851" w:type="dxa"/>
            <w:vAlign w:val="center"/>
          </w:tcPr>
          <w:p w:rsidR="0082209A" w:rsidRPr="0082209A" w:rsidRDefault="0082209A" w:rsidP="0082209A">
            <w:pPr>
              <w:snapToGrid w:val="0"/>
              <w:rPr>
                <w:sz w:val="18"/>
                <w:szCs w:val="18"/>
              </w:rPr>
            </w:pPr>
            <w:r w:rsidRPr="0082209A">
              <w:rPr>
                <w:sz w:val="18"/>
                <w:szCs w:val="18"/>
              </w:rPr>
              <w:t>76.9</w:t>
            </w:r>
          </w:p>
        </w:tc>
        <w:tc>
          <w:tcPr>
            <w:tcW w:w="850" w:type="dxa"/>
            <w:vAlign w:val="center"/>
          </w:tcPr>
          <w:p w:rsidR="0082209A" w:rsidRPr="0082209A" w:rsidRDefault="0082209A" w:rsidP="0082209A">
            <w:pPr>
              <w:snapToGrid w:val="0"/>
              <w:rPr>
                <w:sz w:val="18"/>
                <w:szCs w:val="18"/>
              </w:rPr>
            </w:pPr>
            <w:r w:rsidRPr="0082209A">
              <w:rPr>
                <w:sz w:val="18"/>
                <w:szCs w:val="18"/>
              </w:rPr>
              <w:t>147</w:t>
            </w:r>
          </w:p>
        </w:tc>
        <w:tc>
          <w:tcPr>
            <w:tcW w:w="851" w:type="dxa"/>
            <w:vAlign w:val="center"/>
          </w:tcPr>
          <w:p w:rsidR="0082209A" w:rsidRPr="0082209A" w:rsidRDefault="0082209A" w:rsidP="0082209A">
            <w:pPr>
              <w:snapToGrid w:val="0"/>
              <w:rPr>
                <w:sz w:val="18"/>
                <w:szCs w:val="18"/>
              </w:rPr>
            </w:pPr>
            <w:r w:rsidRPr="0082209A">
              <w:rPr>
                <w:sz w:val="18"/>
                <w:szCs w:val="18"/>
              </w:rPr>
              <w:t>368</w:t>
            </w:r>
          </w:p>
        </w:tc>
        <w:tc>
          <w:tcPr>
            <w:tcW w:w="709" w:type="dxa"/>
            <w:vAlign w:val="center"/>
          </w:tcPr>
          <w:p w:rsidR="0082209A" w:rsidRPr="0082209A" w:rsidRDefault="0082209A" w:rsidP="0082209A">
            <w:pPr>
              <w:snapToGrid w:val="0"/>
              <w:rPr>
                <w:sz w:val="18"/>
                <w:szCs w:val="18"/>
              </w:rPr>
            </w:pPr>
            <w:r w:rsidRPr="0082209A">
              <w:rPr>
                <w:sz w:val="18"/>
                <w:szCs w:val="18"/>
              </w:rPr>
              <w:t>736</w:t>
            </w:r>
          </w:p>
        </w:tc>
        <w:tc>
          <w:tcPr>
            <w:tcW w:w="940" w:type="dxa"/>
            <w:vAlign w:val="center"/>
          </w:tcPr>
          <w:p w:rsidR="0082209A" w:rsidRPr="0082209A" w:rsidRDefault="0082209A" w:rsidP="0082209A">
            <w:pPr>
              <w:snapToGrid w:val="0"/>
              <w:rPr>
                <w:sz w:val="18"/>
                <w:szCs w:val="18"/>
              </w:rPr>
            </w:pPr>
            <w:r w:rsidRPr="0082209A">
              <w:rPr>
                <w:sz w:val="18"/>
                <w:szCs w:val="18"/>
              </w:rPr>
              <w:t>1088</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Nº of modules</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18</w:t>
            </w:r>
          </w:p>
        </w:tc>
        <w:tc>
          <w:tcPr>
            <w:tcW w:w="851" w:type="dxa"/>
            <w:vAlign w:val="center"/>
          </w:tcPr>
          <w:p w:rsidR="0082209A" w:rsidRPr="0082209A" w:rsidRDefault="0082209A" w:rsidP="0082209A">
            <w:pPr>
              <w:snapToGrid w:val="0"/>
              <w:rPr>
                <w:sz w:val="18"/>
                <w:szCs w:val="18"/>
              </w:rPr>
            </w:pPr>
            <w:r w:rsidRPr="0082209A">
              <w:rPr>
                <w:sz w:val="18"/>
                <w:szCs w:val="18"/>
              </w:rPr>
              <w:t>48</w:t>
            </w:r>
          </w:p>
        </w:tc>
        <w:tc>
          <w:tcPr>
            <w:tcW w:w="850" w:type="dxa"/>
            <w:vAlign w:val="center"/>
          </w:tcPr>
          <w:p w:rsidR="0082209A" w:rsidRPr="0082209A" w:rsidRDefault="0082209A" w:rsidP="0082209A">
            <w:pPr>
              <w:snapToGrid w:val="0"/>
              <w:rPr>
                <w:sz w:val="18"/>
                <w:szCs w:val="18"/>
              </w:rPr>
            </w:pPr>
            <w:r w:rsidRPr="0082209A">
              <w:rPr>
                <w:sz w:val="18"/>
                <w:szCs w:val="18"/>
              </w:rPr>
              <w:t>92</w:t>
            </w:r>
          </w:p>
        </w:tc>
        <w:tc>
          <w:tcPr>
            <w:tcW w:w="851" w:type="dxa"/>
            <w:vAlign w:val="center"/>
          </w:tcPr>
          <w:p w:rsidR="0082209A" w:rsidRPr="0082209A" w:rsidRDefault="0082209A" w:rsidP="0082209A">
            <w:pPr>
              <w:snapToGrid w:val="0"/>
              <w:rPr>
                <w:sz w:val="18"/>
                <w:szCs w:val="18"/>
              </w:rPr>
            </w:pPr>
            <w:r w:rsidRPr="0082209A">
              <w:rPr>
                <w:sz w:val="18"/>
                <w:szCs w:val="18"/>
              </w:rPr>
              <w:t>230</w:t>
            </w:r>
          </w:p>
        </w:tc>
        <w:tc>
          <w:tcPr>
            <w:tcW w:w="709" w:type="dxa"/>
            <w:vAlign w:val="center"/>
          </w:tcPr>
          <w:p w:rsidR="0082209A" w:rsidRPr="0082209A" w:rsidRDefault="0082209A" w:rsidP="0082209A">
            <w:pPr>
              <w:snapToGrid w:val="0"/>
              <w:rPr>
                <w:sz w:val="18"/>
                <w:szCs w:val="18"/>
              </w:rPr>
            </w:pPr>
            <w:r w:rsidRPr="0082209A">
              <w:rPr>
                <w:sz w:val="18"/>
                <w:szCs w:val="18"/>
              </w:rPr>
              <w:t>460</w:t>
            </w:r>
          </w:p>
        </w:tc>
        <w:tc>
          <w:tcPr>
            <w:tcW w:w="940" w:type="dxa"/>
            <w:vAlign w:val="center"/>
          </w:tcPr>
          <w:p w:rsidR="0082209A" w:rsidRPr="0082209A" w:rsidRDefault="0082209A" w:rsidP="0082209A">
            <w:pPr>
              <w:snapToGrid w:val="0"/>
              <w:rPr>
                <w:sz w:val="18"/>
                <w:szCs w:val="18"/>
              </w:rPr>
            </w:pPr>
            <w:r w:rsidRPr="0082209A">
              <w:rPr>
                <w:sz w:val="18"/>
                <w:szCs w:val="18"/>
              </w:rPr>
              <w:t>680</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rPr>
            </w:pPr>
            <w:r w:rsidRPr="0082209A">
              <w:rPr>
                <w:sz w:val="18"/>
                <w:szCs w:val="18"/>
              </w:rPr>
              <w:t>Produced energy [MWh.year</w:t>
            </w:r>
            <w:r w:rsidRPr="0082209A">
              <w:rPr>
                <w:sz w:val="18"/>
                <w:szCs w:val="18"/>
                <w:vertAlign w:val="superscript"/>
              </w:rPr>
              <w:t>-1</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w:t>
            </w:r>
          </w:p>
        </w:tc>
        <w:tc>
          <w:tcPr>
            <w:tcW w:w="850" w:type="dxa"/>
            <w:vAlign w:val="center"/>
          </w:tcPr>
          <w:p w:rsidR="0082209A" w:rsidRPr="0082209A" w:rsidRDefault="0082209A" w:rsidP="0082209A">
            <w:pPr>
              <w:snapToGrid w:val="0"/>
              <w:rPr>
                <w:sz w:val="18"/>
                <w:szCs w:val="18"/>
              </w:rPr>
            </w:pPr>
            <w:r w:rsidRPr="0082209A">
              <w:rPr>
                <w:sz w:val="18"/>
                <w:szCs w:val="18"/>
              </w:rPr>
              <w:t>6.9</w:t>
            </w:r>
          </w:p>
        </w:tc>
        <w:tc>
          <w:tcPr>
            <w:tcW w:w="851" w:type="dxa"/>
            <w:vAlign w:val="center"/>
          </w:tcPr>
          <w:p w:rsidR="0082209A" w:rsidRPr="0082209A" w:rsidRDefault="0082209A" w:rsidP="0082209A">
            <w:pPr>
              <w:snapToGrid w:val="0"/>
              <w:rPr>
                <w:sz w:val="18"/>
                <w:szCs w:val="18"/>
              </w:rPr>
            </w:pPr>
            <w:r w:rsidRPr="0082209A">
              <w:rPr>
                <w:sz w:val="18"/>
                <w:szCs w:val="18"/>
              </w:rPr>
              <w:t>19</w:t>
            </w:r>
          </w:p>
        </w:tc>
        <w:tc>
          <w:tcPr>
            <w:tcW w:w="850" w:type="dxa"/>
            <w:vAlign w:val="center"/>
          </w:tcPr>
          <w:p w:rsidR="0082209A" w:rsidRPr="0082209A" w:rsidRDefault="0082209A" w:rsidP="0082209A">
            <w:pPr>
              <w:snapToGrid w:val="0"/>
              <w:rPr>
                <w:sz w:val="18"/>
                <w:szCs w:val="18"/>
              </w:rPr>
            </w:pPr>
            <w:r w:rsidRPr="0082209A">
              <w:rPr>
                <w:sz w:val="18"/>
                <w:szCs w:val="18"/>
              </w:rPr>
              <w:t>35</w:t>
            </w:r>
          </w:p>
        </w:tc>
        <w:tc>
          <w:tcPr>
            <w:tcW w:w="851" w:type="dxa"/>
            <w:vAlign w:val="center"/>
          </w:tcPr>
          <w:p w:rsidR="0082209A" w:rsidRPr="0082209A" w:rsidRDefault="0082209A" w:rsidP="0082209A">
            <w:pPr>
              <w:snapToGrid w:val="0"/>
              <w:rPr>
                <w:sz w:val="18"/>
                <w:szCs w:val="18"/>
              </w:rPr>
            </w:pPr>
            <w:r w:rsidRPr="0082209A">
              <w:rPr>
                <w:sz w:val="18"/>
                <w:szCs w:val="18"/>
              </w:rPr>
              <w:t>89</w:t>
            </w:r>
          </w:p>
        </w:tc>
        <w:tc>
          <w:tcPr>
            <w:tcW w:w="709" w:type="dxa"/>
            <w:vAlign w:val="center"/>
          </w:tcPr>
          <w:p w:rsidR="0082209A" w:rsidRPr="0082209A" w:rsidRDefault="0082209A" w:rsidP="0082209A">
            <w:pPr>
              <w:snapToGrid w:val="0"/>
              <w:rPr>
                <w:sz w:val="18"/>
                <w:szCs w:val="18"/>
              </w:rPr>
            </w:pPr>
            <w:r w:rsidRPr="0082209A">
              <w:rPr>
                <w:sz w:val="18"/>
                <w:szCs w:val="18"/>
              </w:rPr>
              <w:t>182</w:t>
            </w:r>
          </w:p>
        </w:tc>
        <w:tc>
          <w:tcPr>
            <w:tcW w:w="940" w:type="dxa"/>
            <w:vAlign w:val="center"/>
          </w:tcPr>
          <w:p w:rsidR="0082209A" w:rsidRPr="0082209A" w:rsidRDefault="0082209A" w:rsidP="0082209A">
            <w:pPr>
              <w:snapToGrid w:val="0"/>
              <w:rPr>
                <w:sz w:val="18"/>
                <w:szCs w:val="18"/>
              </w:rPr>
            </w:pPr>
            <w:r w:rsidRPr="0082209A">
              <w:rPr>
                <w:sz w:val="18"/>
                <w:szCs w:val="18"/>
              </w:rPr>
              <w:t>270</w:t>
            </w:r>
          </w:p>
        </w:tc>
      </w:tr>
      <w:tr w:rsidR="0082209A" w:rsidRPr="0082209A" w:rsidTr="0082209A">
        <w:trPr>
          <w:trHeight w:val="284"/>
          <w:jc w:val="center"/>
        </w:trPr>
        <w:tc>
          <w:tcPr>
            <w:tcW w:w="2263" w:type="dxa"/>
            <w:vAlign w:val="center"/>
          </w:tcPr>
          <w:p w:rsidR="0082209A" w:rsidRPr="0082209A" w:rsidRDefault="0082209A" w:rsidP="0082209A">
            <w:pPr>
              <w:snapToGrid w:val="0"/>
              <w:rPr>
                <w:sz w:val="18"/>
                <w:szCs w:val="18"/>
                <w:vertAlign w:val="superscript"/>
              </w:rPr>
            </w:pPr>
            <w:r w:rsidRPr="0082209A">
              <w:rPr>
                <w:sz w:val="18"/>
                <w:szCs w:val="18"/>
              </w:rPr>
              <w:t>EEI</w:t>
            </w:r>
            <w:r w:rsidRPr="0082209A">
              <w:rPr>
                <w:sz w:val="18"/>
                <w:szCs w:val="18"/>
                <w:vertAlign w:val="subscript"/>
              </w:rPr>
              <w:t>nominal[</w:t>
            </w:r>
            <w:r w:rsidRPr="0082209A">
              <w:rPr>
                <w:sz w:val="18"/>
                <w:szCs w:val="18"/>
              </w:rPr>
              <w:t>[Kgep.m-</w:t>
            </w:r>
            <w:r w:rsidRPr="0082209A">
              <w:rPr>
                <w:sz w:val="18"/>
                <w:szCs w:val="18"/>
                <w:vertAlign w:val="superscript"/>
              </w:rPr>
              <w:t>2</w:t>
            </w:r>
            <w:r w:rsidRPr="0082209A">
              <w:rPr>
                <w:sz w:val="18"/>
                <w:szCs w:val="18"/>
              </w:rPr>
              <w:t>year</w:t>
            </w:r>
            <w:r w:rsidRPr="0082209A">
              <w:rPr>
                <w:sz w:val="18"/>
                <w:szCs w:val="18"/>
                <w:vertAlign w:val="superscript"/>
              </w:rPr>
              <w:t>-1</w:t>
            </w:r>
            <w:r w:rsidRPr="0082209A">
              <w:rPr>
                <w:sz w:val="18"/>
                <w:szCs w:val="18"/>
              </w:rPr>
              <w:t>]</w:t>
            </w:r>
          </w:p>
        </w:tc>
        <w:tc>
          <w:tcPr>
            <w:tcW w:w="851" w:type="dxa"/>
            <w:vAlign w:val="center"/>
          </w:tcPr>
          <w:p w:rsidR="0082209A" w:rsidRPr="0082209A" w:rsidRDefault="0082209A" w:rsidP="0082209A">
            <w:pPr>
              <w:snapToGrid w:val="0"/>
              <w:rPr>
                <w:sz w:val="18"/>
                <w:szCs w:val="18"/>
              </w:rPr>
            </w:pPr>
            <w:r w:rsidRPr="0082209A">
              <w:rPr>
                <w:sz w:val="18"/>
                <w:szCs w:val="18"/>
              </w:rPr>
              <w:t>44.25</w:t>
            </w:r>
          </w:p>
        </w:tc>
        <w:tc>
          <w:tcPr>
            <w:tcW w:w="850" w:type="dxa"/>
            <w:vAlign w:val="center"/>
          </w:tcPr>
          <w:p w:rsidR="0082209A" w:rsidRPr="0082209A" w:rsidRDefault="0082209A" w:rsidP="0082209A">
            <w:pPr>
              <w:snapToGrid w:val="0"/>
              <w:rPr>
                <w:sz w:val="18"/>
                <w:szCs w:val="18"/>
              </w:rPr>
            </w:pPr>
            <w:r w:rsidRPr="0082209A">
              <w:rPr>
                <w:sz w:val="18"/>
                <w:szCs w:val="18"/>
              </w:rPr>
              <w:t>44.16</w:t>
            </w:r>
          </w:p>
        </w:tc>
        <w:tc>
          <w:tcPr>
            <w:tcW w:w="851" w:type="dxa"/>
            <w:vAlign w:val="center"/>
          </w:tcPr>
          <w:p w:rsidR="0082209A" w:rsidRPr="0082209A" w:rsidRDefault="0082209A" w:rsidP="0082209A">
            <w:pPr>
              <w:snapToGrid w:val="0"/>
              <w:rPr>
                <w:sz w:val="18"/>
                <w:szCs w:val="18"/>
              </w:rPr>
            </w:pPr>
            <w:r w:rsidRPr="0082209A">
              <w:rPr>
                <w:sz w:val="18"/>
                <w:szCs w:val="18"/>
              </w:rPr>
              <w:t>44</w:t>
            </w:r>
          </w:p>
        </w:tc>
        <w:tc>
          <w:tcPr>
            <w:tcW w:w="850" w:type="dxa"/>
            <w:vAlign w:val="center"/>
          </w:tcPr>
          <w:p w:rsidR="0082209A" w:rsidRPr="0082209A" w:rsidRDefault="0082209A" w:rsidP="0082209A">
            <w:pPr>
              <w:snapToGrid w:val="0"/>
              <w:rPr>
                <w:sz w:val="18"/>
                <w:szCs w:val="18"/>
              </w:rPr>
            </w:pPr>
            <w:r w:rsidRPr="0082209A">
              <w:rPr>
                <w:sz w:val="18"/>
                <w:szCs w:val="18"/>
              </w:rPr>
              <w:t>43.8</w:t>
            </w:r>
          </w:p>
        </w:tc>
        <w:tc>
          <w:tcPr>
            <w:tcW w:w="851" w:type="dxa"/>
            <w:vAlign w:val="center"/>
          </w:tcPr>
          <w:p w:rsidR="0082209A" w:rsidRPr="0082209A" w:rsidRDefault="0082209A" w:rsidP="0082209A">
            <w:pPr>
              <w:snapToGrid w:val="0"/>
              <w:rPr>
                <w:sz w:val="18"/>
                <w:szCs w:val="18"/>
              </w:rPr>
            </w:pPr>
            <w:r w:rsidRPr="0082209A">
              <w:rPr>
                <w:sz w:val="18"/>
                <w:szCs w:val="18"/>
              </w:rPr>
              <w:t>41</w:t>
            </w:r>
          </w:p>
        </w:tc>
        <w:tc>
          <w:tcPr>
            <w:tcW w:w="709" w:type="dxa"/>
            <w:vAlign w:val="center"/>
          </w:tcPr>
          <w:p w:rsidR="0082209A" w:rsidRPr="0082209A" w:rsidRDefault="0082209A" w:rsidP="0082209A">
            <w:pPr>
              <w:snapToGrid w:val="0"/>
              <w:rPr>
                <w:sz w:val="18"/>
                <w:szCs w:val="18"/>
              </w:rPr>
            </w:pPr>
            <w:r w:rsidRPr="0082209A">
              <w:rPr>
                <w:sz w:val="18"/>
                <w:szCs w:val="18"/>
              </w:rPr>
              <w:t>42</w:t>
            </w:r>
          </w:p>
        </w:tc>
        <w:tc>
          <w:tcPr>
            <w:tcW w:w="940" w:type="dxa"/>
            <w:vAlign w:val="center"/>
          </w:tcPr>
          <w:p w:rsidR="0082209A" w:rsidRPr="0082209A" w:rsidRDefault="0082209A" w:rsidP="0082209A">
            <w:pPr>
              <w:snapToGrid w:val="0"/>
              <w:rPr>
                <w:sz w:val="18"/>
                <w:szCs w:val="18"/>
              </w:rPr>
            </w:pPr>
            <w:r w:rsidRPr="0082209A">
              <w:rPr>
                <w:sz w:val="18"/>
                <w:szCs w:val="18"/>
              </w:rPr>
              <w:t>41</w:t>
            </w:r>
          </w:p>
        </w:tc>
      </w:tr>
    </w:tbl>
    <w:p w:rsidR="0082209A" w:rsidRPr="0082209A" w:rsidRDefault="0082209A" w:rsidP="0082209A">
      <w:pPr>
        <w:pStyle w:val="text-2"/>
        <w:snapToGrid w:val="0"/>
        <w:ind w:firstLine="120"/>
        <w:rPr>
          <w:rFonts w:eastAsiaTheme="minorEastAsia" w:hint="eastAsia"/>
          <w:sz w:val="12"/>
          <w:szCs w:val="12"/>
          <w:lang w:val="en-US"/>
        </w:rPr>
      </w:pPr>
    </w:p>
    <w:p w:rsidR="0082209A" w:rsidRDefault="0082209A" w:rsidP="00E97D21">
      <w:pPr>
        <w:pStyle w:val="text-2"/>
        <w:rPr>
          <w:rFonts w:eastAsiaTheme="minorEastAsia"/>
          <w:lang w:val="en-US"/>
        </w:rPr>
        <w:sectPr w:rsidR="0082209A" w:rsidSect="0082209A">
          <w:type w:val="continuous"/>
          <w:pgSz w:w="11907" w:h="16160"/>
          <w:pgMar w:top="1701" w:right="1134" w:bottom="1418" w:left="1134" w:header="1134" w:footer="1134" w:gutter="0"/>
          <w:cols w:space="425"/>
          <w:titlePg/>
          <w:docGrid w:type="lines" w:linePitch="312"/>
        </w:sectPr>
      </w:pPr>
    </w:p>
    <w:p w:rsidR="00E97D21" w:rsidRPr="003D30D9" w:rsidRDefault="00E97D21" w:rsidP="0082209A">
      <w:pPr>
        <w:pStyle w:val="text-2"/>
        <w:widowControl w:val="0"/>
      </w:pPr>
      <w:r w:rsidRPr="003D30D9">
        <w:lastRenderedPageBreak/>
        <w:t xml:space="preserve">From the results obtained for the two types of photovoltaic panels, it was concluded that for the same peak power, the annual energy produced by amorphous silicon panels and the poly-crystalline silicon is quite similar between them, which is reflected in a decrease the overall consumption of the building in a very similar manner. Although these two different types of </w:t>
      </w:r>
      <w:r w:rsidR="009E29F8" w:rsidRPr="003D30D9">
        <w:lastRenderedPageBreak/>
        <w:t>panels has</w:t>
      </w:r>
      <w:r w:rsidRPr="003D30D9">
        <w:t xml:space="preserve"> for the same peak power a very similar annual energy production, the amorphous silicon panels </w:t>
      </w:r>
      <w:r w:rsidR="009E29F8" w:rsidRPr="003D30D9">
        <w:t>are penalized</w:t>
      </w:r>
      <w:r w:rsidRPr="003D30D9">
        <w:t xml:space="preserve"> because they require more than twice the solar capture area</w:t>
      </w:r>
      <w:r w:rsidRPr="003D30D9">
        <w:rPr>
          <w:color w:val="FF0000"/>
        </w:rPr>
        <w:t>.</w:t>
      </w:r>
      <w:r w:rsidR="009E29F8">
        <w:rPr>
          <w:rFonts w:hint="eastAsia"/>
          <w:color w:val="FF0000"/>
        </w:rPr>
        <w:t xml:space="preserve"> </w:t>
      </w:r>
      <w:r w:rsidRPr="003D30D9">
        <w:t>So it was chosen for the following analyses</w:t>
      </w:r>
      <w:r w:rsidR="009E29F8">
        <w:rPr>
          <w:rFonts w:hint="eastAsia"/>
        </w:rPr>
        <w:t xml:space="preserve"> </w:t>
      </w:r>
      <w:r w:rsidRPr="003D30D9">
        <w:t xml:space="preserve">the polycrystalline silicon panels </w:t>
      </w:r>
      <w:r w:rsidR="009E29F8">
        <w:t>—</w:t>
      </w:r>
      <w:r w:rsidRPr="003D30D9">
        <w:t xml:space="preserve"> 92 modules with a power pick of 20 kW</w:t>
      </w:r>
      <w:r w:rsidRPr="003D30D9">
        <w:rPr>
          <w:vertAlign w:val="subscript"/>
        </w:rPr>
        <w:t>p</w:t>
      </w:r>
      <w:r w:rsidRPr="003D30D9">
        <w:t>. The EEI is 42 Kgep.m-</w:t>
      </w:r>
      <w:r w:rsidRPr="003D30D9">
        <w:rPr>
          <w:vertAlign w:val="superscript"/>
        </w:rPr>
        <w:t>2 .</w:t>
      </w:r>
      <w:r w:rsidRPr="003D30D9">
        <w:t>year</w:t>
      </w:r>
      <w:r w:rsidRPr="003D30D9">
        <w:rPr>
          <w:vertAlign w:val="superscript"/>
        </w:rPr>
        <w:t>-1</w:t>
      </w:r>
      <w:r w:rsidRPr="003D30D9">
        <w:t xml:space="preserve"> which maintains the hotel in class B, </w:t>
      </w:r>
      <w:r w:rsidRPr="003D30D9">
        <w:lastRenderedPageBreak/>
        <w:t xml:space="preserve">beside the benefits shown in </w:t>
      </w:r>
      <w:r w:rsidR="008A5E25">
        <w:rPr>
          <w:rFonts w:hint="eastAsia"/>
        </w:rPr>
        <w:t>T</w:t>
      </w:r>
      <w:r w:rsidRPr="003D30D9">
        <w:t>able 8.</w:t>
      </w:r>
    </w:p>
    <w:p w:rsidR="00E97D21" w:rsidRPr="00E27922" w:rsidRDefault="00E97D21" w:rsidP="009E29F8">
      <w:pPr>
        <w:pStyle w:val="Headlines-2"/>
        <w:spacing w:before="156" w:after="156"/>
      </w:pPr>
      <w:r>
        <w:t>5.2</w:t>
      </w:r>
      <w:r w:rsidRPr="00E27922">
        <w:t xml:space="preserve"> Other </w:t>
      </w:r>
      <w:r w:rsidR="009E29F8">
        <w:rPr>
          <w:rFonts w:hint="eastAsia"/>
        </w:rPr>
        <w:t>I</w:t>
      </w:r>
      <w:r w:rsidRPr="00E27922">
        <w:t>mprovements</w:t>
      </w:r>
    </w:p>
    <w:p w:rsidR="00E97D21" w:rsidRPr="003D30D9" w:rsidRDefault="00E97D21" w:rsidP="009E29F8">
      <w:pPr>
        <w:pStyle w:val="text-2"/>
      </w:pPr>
      <w:r w:rsidRPr="003D30D9">
        <w:t>Several other improvements were taken into account. In order to not repeat the same kind of tables, only the final results of each one will be shown in this subsection.</w:t>
      </w:r>
    </w:p>
    <w:p w:rsidR="00E97D21" w:rsidRPr="003D30D9" w:rsidRDefault="008A5E25" w:rsidP="008A5E25">
      <w:pPr>
        <w:pStyle w:val="text-2"/>
      </w:pPr>
      <w:r>
        <w:rPr>
          <w:rFonts w:eastAsiaTheme="minorEastAsia" w:hint="eastAsia"/>
        </w:rPr>
        <w:t xml:space="preserve">- </w:t>
      </w:r>
      <w:r w:rsidR="00E97D21" w:rsidRPr="003D30D9">
        <w:t>Ventilation devices</w:t>
      </w:r>
    </w:p>
    <w:p w:rsidR="00E97D21" w:rsidRPr="003D30D9" w:rsidRDefault="00E97D21" w:rsidP="008A5E25">
      <w:pPr>
        <w:pStyle w:val="text-2"/>
      </w:pPr>
      <w:r w:rsidRPr="003D30D9">
        <w:t>In order to improve the efficiency of ventilation equipment, consideration will be given to influence of HVAC systems with and without heat recovery, as well as the influence of consumption of the equipment associated with them. Between several options, the final one was that the air velocity in the batteries (heating and cooling), did not exceed 2.5m.s</w:t>
      </w:r>
      <w:r w:rsidRPr="003D30D9">
        <w:rPr>
          <w:vertAlign w:val="superscript"/>
        </w:rPr>
        <w:t>-1</w:t>
      </w:r>
      <w:r w:rsidRPr="003D30D9">
        <w:t xml:space="preserve"> whit the respective reduction of the total pressure drop in ducts and with heat recovery. Comparing with the base case, the percentage of the total energy saved is 2.9%, and the avoided CO</w:t>
      </w:r>
      <w:r w:rsidRPr="003D30D9">
        <w:rPr>
          <w:vertAlign w:val="subscript"/>
        </w:rPr>
        <w:t>2</w:t>
      </w:r>
      <w:r w:rsidRPr="003D30D9">
        <w:t xml:space="preserve"> emissions represents 4.1%. The EEI value is 42.79 Kgep.m-</w:t>
      </w:r>
      <w:r w:rsidRPr="003D30D9">
        <w:rPr>
          <w:vertAlign w:val="superscript"/>
        </w:rPr>
        <w:t>2</w:t>
      </w:r>
      <w:r w:rsidRPr="003D30D9">
        <w:t>.year, less than the reference value.</w:t>
      </w:r>
    </w:p>
    <w:p w:rsidR="00E97D21" w:rsidRPr="003D30D9" w:rsidRDefault="008A5E25" w:rsidP="008A5E25">
      <w:pPr>
        <w:pStyle w:val="text-2"/>
      </w:pPr>
      <w:r>
        <w:rPr>
          <w:rFonts w:eastAsiaTheme="minorEastAsia" w:hint="eastAsia"/>
        </w:rPr>
        <w:t xml:space="preserve">- </w:t>
      </w:r>
      <w:r w:rsidR="00E97D21" w:rsidRPr="003D30D9">
        <w:t>Lighting control equipment – Dimmers. The control of artificial lighting in a building aims to maximize the use of natural lighting, requiring only lighting and occupancy sensors in the spaces. These detect the presence of space lighting power, comparing it with the preset. If it is not achieved by natural lighting is driven artificial lighting. The TRACE 700 software has an algorithm that allows the inclusion of the concept of natural light into the building, creating in each space a variable named daylight factor, defined by the ratio between indoor luminance and the horizontal exterior luminance. The implementation of such control systems, reverts in a reduction of the annual energy bill of around 7%. The contribution to this decrease comes from the electricity consumption that is reduced considerably due to lower power consumption in the building using this technology. The payback time is 1.3 years.</w:t>
      </w:r>
    </w:p>
    <w:p w:rsidR="00E97D21" w:rsidRPr="003D30D9" w:rsidRDefault="008A5E25" w:rsidP="008A5E25">
      <w:pPr>
        <w:pStyle w:val="text-2"/>
      </w:pPr>
      <w:r>
        <w:rPr>
          <w:rFonts w:eastAsiaTheme="minorEastAsia" w:hint="eastAsia"/>
        </w:rPr>
        <w:t xml:space="preserve">- </w:t>
      </w:r>
      <w:r w:rsidR="00E97D21" w:rsidRPr="003D30D9">
        <w:t xml:space="preserve">Chillers using heat recovery of hot water from the condensers to heat the sanitary hot water (SHW). After </w:t>
      </w:r>
      <w:r w:rsidR="00E97D21" w:rsidRPr="003D30D9">
        <w:lastRenderedPageBreak/>
        <w:t>an energetic and economic analysis, it was found out that using this technique, there is an expected increase in power consumption by the latter, by the reason of its contribution to the SHW (there is a significant reduction in nominal power to SHW). The greatest contribution of this equipment to satisfy the SWH takes place in the cooling season (summer), since in this period the chillers are running permanently (feeding the cooling batteries).</w:t>
      </w:r>
    </w:p>
    <w:p w:rsidR="00E97D21" w:rsidRDefault="00E97D21" w:rsidP="008A5E25">
      <w:pPr>
        <w:pStyle w:val="text-2"/>
      </w:pPr>
      <w:r>
        <w:t xml:space="preserve">- </w:t>
      </w:r>
      <w:r w:rsidRPr="003D30D9">
        <w:t>Condensing boilers. They</w:t>
      </w:r>
      <w:r w:rsidR="009E29F8">
        <w:rPr>
          <w:rFonts w:hint="eastAsia"/>
        </w:rPr>
        <w:t xml:space="preserve"> </w:t>
      </w:r>
      <w:r w:rsidRPr="003D30D9">
        <w:t>take advantage of the flue gas from the combustion.</w:t>
      </w:r>
      <w:r w:rsidR="009E29F8">
        <w:rPr>
          <w:rFonts w:hint="eastAsia"/>
        </w:rPr>
        <w:t xml:space="preserve"> </w:t>
      </w:r>
      <w:r w:rsidRPr="003D30D9">
        <w:t>The use of condensing gas boilers leads to a decrease in overall building consumption due to better performance they have when compared to conventional boilers.</w:t>
      </w:r>
    </w:p>
    <w:p w:rsidR="00E97D21" w:rsidRPr="00E27922" w:rsidRDefault="00E97D21" w:rsidP="008A5E25">
      <w:pPr>
        <w:pStyle w:val="Headlines-2"/>
        <w:spacing w:before="156" w:after="156"/>
      </w:pPr>
      <w:r>
        <w:t>5.3</w:t>
      </w:r>
      <w:r w:rsidRPr="00E27922">
        <w:t xml:space="preserve"> Overall </w:t>
      </w:r>
      <w:r w:rsidR="009E29F8">
        <w:rPr>
          <w:rFonts w:hint="eastAsia"/>
        </w:rPr>
        <w:t>S</w:t>
      </w:r>
      <w:r w:rsidRPr="00E27922">
        <w:t>olutions</w:t>
      </w:r>
    </w:p>
    <w:p w:rsidR="00E97D21" w:rsidRDefault="00E97D21" w:rsidP="008A5E25">
      <w:pPr>
        <w:pStyle w:val="text-2"/>
        <w:rPr>
          <w:rFonts w:eastAsiaTheme="minorEastAsia" w:hint="eastAsia"/>
          <w:lang w:val="en-US"/>
        </w:rPr>
      </w:pPr>
      <w:r w:rsidRPr="00E27922">
        <w:rPr>
          <w:lang w:val="en-US"/>
        </w:rPr>
        <w:t xml:space="preserve">Taking into account the better solutions for each active solutions shown before, it’s possible to compare them with the initial conditions. </w:t>
      </w:r>
      <w:r w:rsidRPr="0082209A">
        <w:rPr>
          <w:highlight w:val="red"/>
          <w:lang w:val="en-US"/>
        </w:rPr>
        <w:t>Table 9</w:t>
      </w:r>
      <w:r w:rsidRPr="00E27922">
        <w:rPr>
          <w:lang w:val="en-US"/>
        </w:rPr>
        <w:t xml:space="preserve"> displays the overall results of the best choices in order to reduce the energy consumption of the building.</w:t>
      </w:r>
    </w:p>
    <w:p w:rsidR="00E97D21" w:rsidRPr="00E27922" w:rsidRDefault="00E97D21" w:rsidP="008A5E25">
      <w:pPr>
        <w:pStyle w:val="text-2"/>
      </w:pPr>
      <w:r w:rsidRPr="00E27922">
        <w:t>As can be seen, with the features inherent in the initial solution (base case) when compared to the optimal solution set, the differences in all consumption levels decrease in a meaningful way. The reduced overall consumption of the building is approximately 25%.</w:t>
      </w:r>
      <w:r w:rsidR="0082209A">
        <w:rPr>
          <w:rFonts w:eastAsiaTheme="minorEastAsia" w:hint="eastAsia"/>
        </w:rPr>
        <w:t xml:space="preserve"> </w:t>
      </w:r>
      <w:r w:rsidRPr="00E27922">
        <w:t>For the base case an according to the Portuguese legislation, the</w:t>
      </w:r>
      <w:r w:rsidR="008A5E25">
        <w:rPr>
          <w:rFonts w:hint="eastAsia"/>
        </w:rPr>
        <w:t xml:space="preserve"> </w:t>
      </w:r>
      <w:r w:rsidRPr="00E27922">
        <w:t>energy rating of the hotel was B</w:t>
      </w:r>
      <w:r w:rsidRPr="00E27922">
        <w:rPr>
          <w:vertAlign w:val="superscript"/>
        </w:rPr>
        <w:t>-</w:t>
      </w:r>
      <w:r w:rsidRPr="00E27922">
        <w:t xml:space="preserve"> category. Therefore, after the changes carried out the building was rated to class A.</w:t>
      </w:r>
    </w:p>
    <w:p w:rsidR="00E97D21" w:rsidRPr="00E27922" w:rsidRDefault="00E97D21" w:rsidP="009E29F8">
      <w:pPr>
        <w:pStyle w:val="Headline-1"/>
      </w:pPr>
      <w:r w:rsidRPr="00E27922">
        <w:t>6</w:t>
      </w:r>
      <w:r w:rsidR="009E29F8">
        <w:rPr>
          <w:rFonts w:hint="eastAsia"/>
          <w:lang w:eastAsia="zh-CN"/>
        </w:rPr>
        <w:t>.</w:t>
      </w:r>
      <w:r w:rsidRPr="00E27922">
        <w:t xml:space="preserve"> Cogeneration (CHP) and </w:t>
      </w:r>
      <w:r w:rsidR="009E29F8" w:rsidRPr="00E27922">
        <w:t>Trigeneration</w:t>
      </w:r>
      <w:r w:rsidRPr="00E27922">
        <w:t xml:space="preserve"> (CHCP)</w:t>
      </w:r>
    </w:p>
    <w:p w:rsidR="00E97D21" w:rsidRPr="008605CD" w:rsidRDefault="00E97D21" w:rsidP="009E29F8">
      <w:pPr>
        <w:pStyle w:val="text-2"/>
      </w:pPr>
      <w:r w:rsidRPr="008605CD">
        <w:t>Depending on the electrical power of the engine</w:t>
      </w:r>
      <w:r w:rsidR="009E29F8">
        <w:rPr>
          <w:rFonts w:eastAsiaTheme="minorEastAsia" w:hint="eastAsia"/>
        </w:rPr>
        <w:t xml:space="preserve"> </w:t>
      </w:r>
      <w:r w:rsidRPr="008605CD">
        <w:t xml:space="preserve">to be used and of the annual operating hours of the system, it’s possible to evaluate the electricity produced annually by the equipment. In turn, the useful thermal energy depends on the thermal requirements of the building, because such a system only produces heat (besides the electricity). To be able to produce </w:t>
      </w:r>
      <w:r w:rsidR="009E29F8" w:rsidRPr="008605CD">
        <w:t>cooling it</w:t>
      </w:r>
      <w:r w:rsidRPr="008605CD">
        <w:t xml:space="preserve"> is necessary to have an absorption chiller that runs </w:t>
      </w:r>
      <w:r w:rsidRPr="008605CD">
        <w:lastRenderedPageBreak/>
        <w:t xml:space="preserve">with the heat generate by the CHP. In this case such systems are designated as trigeneration systems </w:t>
      </w:r>
      <w:r w:rsidR="009E29F8">
        <w:rPr>
          <w:lang w:val="en-US"/>
        </w:rPr>
        <w:t>—</w:t>
      </w:r>
      <w:r w:rsidRPr="008605CD">
        <w:t xml:space="preserve"> Combined production of Heat, Cooling and Power (CHCP). In the case study, due to the involved thermal needs, is interesting to couple an absorption chiller for the cooling needs.</w:t>
      </w:r>
    </w:p>
    <w:p w:rsidR="00E97D21" w:rsidRDefault="00E97D21" w:rsidP="00E97D21">
      <w:pPr>
        <w:pStyle w:val="text-2"/>
        <w:rPr>
          <w:rFonts w:eastAsiaTheme="minorEastAsia" w:hint="eastAsia"/>
          <w:color w:val="000000" w:themeColor="text1"/>
          <w:lang w:val="en-US"/>
        </w:rPr>
      </w:pPr>
      <w:r w:rsidRPr="008605CD">
        <w:rPr>
          <w:color w:val="000000" w:themeColor="text1"/>
          <w:lang w:val="en-US"/>
        </w:rPr>
        <w:lastRenderedPageBreak/>
        <w:t xml:space="preserve">There were analyzed several types of cogenerations systems, namely four strokes engines running with natural gas, micro turbines and fuel cells. Among them, the one that better fits to the thermal needs of hotel is a specific one with the following characteristic as shown in </w:t>
      </w:r>
      <w:r w:rsidRPr="00E97D21">
        <w:rPr>
          <w:color w:val="000000" w:themeColor="text1"/>
          <w:highlight w:val="red"/>
          <w:lang w:val="en-US"/>
        </w:rPr>
        <w:t>Table 10</w:t>
      </w:r>
      <w:r>
        <w:rPr>
          <w:rFonts w:eastAsiaTheme="minorEastAsia" w:hint="eastAsia"/>
          <w:color w:val="000000" w:themeColor="text1"/>
          <w:lang w:val="en-US"/>
        </w:rPr>
        <w:t>.</w:t>
      </w:r>
    </w:p>
    <w:p w:rsidR="00E96976" w:rsidRDefault="00E96976" w:rsidP="00E97D21">
      <w:pPr>
        <w:pStyle w:val="text-2"/>
        <w:rPr>
          <w:rFonts w:eastAsiaTheme="minorEastAsia"/>
          <w:color w:val="000000" w:themeColor="text1"/>
          <w:lang w:val="en-US"/>
        </w:rPr>
        <w:sectPr w:rsidR="00E96976" w:rsidSect="00E3235C">
          <w:type w:val="continuous"/>
          <w:pgSz w:w="11907" w:h="16160"/>
          <w:pgMar w:top="1701" w:right="1134" w:bottom="1418" w:left="1134" w:header="1134" w:footer="1134" w:gutter="0"/>
          <w:cols w:num="2" w:space="425"/>
          <w:titlePg/>
          <w:docGrid w:type="lines" w:linePitch="312"/>
        </w:sectPr>
      </w:pPr>
    </w:p>
    <w:p w:rsidR="00E96976" w:rsidRPr="00E96976" w:rsidRDefault="00E96976" w:rsidP="00E96976">
      <w:pPr>
        <w:snapToGrid w:val="0"/>
        <w:jc w:val="both"/>
        <w:rPr>
          <w:rFonts w:hint="eastAsia"/>
          <w:b/>
          <w:bCs/>
          <w:sz w:val="12"/>
          <w:szCs w:val="12"/>
          <w:lang w:eastAsia="zh-CN"/>
        </w:rPr>
      </w:pPr>
    </w:p>
    <w:p w:rsidR="00E96976" w:rsidRPr="00E96976" w:rsidRDefault="00E96976" w:rsidP="00E96976">
      <w:pPr>
        <w:jc w:val="both"/>
        <w:rPr>
          <w:b/>
          <w:bCs/>
          <w:sz w:val="18"/>
          <w:szCs w:val="18"/>
        </w:rPr>
      </w:pPr>
      <w:r w:rsidRPr="00E96976">
        <w:rPr>
          <w:b/>
          <w:bCs/>
          <w:sz w:val="18"/>
          <w:szCs w:val="18"/>
        </w:rPr>
        <w:t>Table 9  Results of the final solution.</w:t>
      </w:r>
    </w:p>
    <w:tbl>
      <w:tblPr>
        <w:tblStyle w:val="aff0"/>
        <w:tblW w:w="9639" w:type="dxa"/>
        <w:jc w:val="center"/>
        <w:tblLayout w:type="fixed"/>
        <w:tblCellMar>
          <w:left w:w="28" w:type="dxa"/>
          <w:right w:w="28" w:type="dxa"/>
        </w:tblCellMar>
        <w:tblLook w:val="04A0"/>
      </w:tblPr>
      <w:tblGrid>
        <w:gridCol w:w="925"/>
        <w:gridCol w:w="1084"/>
        <w:gridCol w:w="1393"/>
        <w:gridCol w:w="911"/>
        <w:gridCol w:w="1357"/>
        <w:gridCol w:w="851"/>
        <w:gridCol w:w="1559"/>
        <w:gridCol w:w="1559"/>
      </w:tblGrid>
      <w:tr w:rsidR="00E96976" w:rsidRPr="00E96976" w:rsidTr="00E96976">
        <w:trPr>
          <w:trHeight w:val="284"/>
          <w:jc w:val="center"/>
        </w:trPr>
        <w:tc>
          <w:tcPr>
            <w:tcW w:w="2009" w:type="dxa"/>
            <w:gridSpan w:val="2"/>
            <w:vMerge w:val="restart"/>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c>
          <w:tcPr>
            <w:tcW w:w="2304"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Final solution</w:t>
            </w:r>
          </w:p>
        </w:tc>
        <w:tc>
          <w:tcPr>
            <w:tcW w:w="2208"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Initial solution</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Reduction of energy consumption</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Avoided emissions of CO</w:t>
            </w:r>
            <w:r w:rsidRPr="00E96976">
              <w:rPr>
                <w:rFonts w:ascii="Times New Roman" w:hAnsi="Times New Roman"/>
                <w:sz w:val="18"/>
                <w:szCs w:val="18"/>
                <w:vertAlign w:val="subscript"/>
                <w:lang w:val="en-US"/>
              </w:rPr>
              <w:t>2</w:t>
            </w:r>
          </w:p>
        </w:tc>
      </w:tr>
      <w:tr w:rsidR="00E96976" w:rsidRPr="00E96976" w:rsidTr="00E96976">
        <w:trPr>
          <w:trHeight w:val="284"/>
          <w:jc w:val="center"/>
        </w:trPr>
        <w:tc>
          <w:tcPr>
            <w:tcW w:w="2009" w:type="dxa"/>
            <w:gridSpan w:val="2"/>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vertAlign w:val="superscript"/>
                <w:lang w:val="en-US"/>
              </w:rPr>
            </w:pPr>
            <w:r w:rsidRPr="00E96976">
              <w:rPr>
                <w:rFonts w:ascii="Times New Roman" w:hAnsi="Times New Roman"/>
                <w:sz w:val="18"/>
                <w:szCs w:val="18"/>
                <w:lang w:val="en-US"/>
              </w:rPr>
              <w:t>[kgep .m</w:t>
            </w:r>
            <w:r w:rsidRPr="00E96976">
              <w:rPr>
                <w:rFonts w:ascii="Times New Roman" w:hAnsi="Times New Roman"/>
                <w:sz w:val="18"/>
                <w:szCs w:val="18"/>
                <w:vertAlign w:val="superscript"/>
                <w:lang w:val="en-US"/>
              </w:rPr>
              <w:t>-2</w:t>
            </w:r>
            <w:r w:rsidRPr="00E96976">
              <w:rPr>
                <w:rFonts w:ascii="Times New Roman" w:hAnsi="Times New Roman"/>
                <w:sz w:val="18"/>
                <w:szCs w:val="18"/>
                <w:lang w:val="en-US"/>
              </w:rPr>
              <w:t>.year</w:t>
            </w:r>
            <w:r w:rsidRPr="00E96976">
              <w:rPr>
                <w:rFonts w:ascii="Times New Roman" w:hAnsi="Times New Roman"/>
                <w:sz w:val="18"/>
                <w:szCs w:val="18"/>
                <w:vertAlign w:val="superscript"/>
                <w:lang w:val="en-US"/>
              </w:rPr>
              <w:t>.-1</w:t>
            </w:r>
            <w:r w:rsidRPr="00E96976">
              <w:rPr>
                <w:rFonts w:ascii="Times New Roman" w:hAnsi="Times New Roman"/>
                <w:sz w:val="18"/>
                <w:szCs w:val="18"/>
                <w:lang w:val="en-US"/>
              </w:rPr>
              <w:t>]</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tons CO</w:t>
            </w:r>
            <w:r w:rsidRPr="00E96976">
              <w:rPr>
                <w:rFonts w:ascii="Times New Roman" w:hAnsi="Times New Roman"/>
                <w:sz w:val="18"/>
                <w:szCs w:val="18"/>
                <w:vertAlign w:val="subscript"/>
                <w:lang w:val="en-US"/>
              </w:rPr>
              <w:t>2</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[kgep.m-</w:t>
            </w:r>
            <w:r w:rsidRPr="00E96976">
              <w:rPr>
                <w:rFonts w:ascii="Times New Roman" w:hAnsi="Times New Roman"/>
                <w:sz w:val="18"/>
                <w:szCs w:val="18"/>
                <w:vertAlign w:val="superscript"/>
                <w:lang w:val="en-US"/>
              </w:rPr>
              <w:t>2</w:t>
            </w:r>
            <w:r w:rsidRPr="00E96976">
              <w:rPr>
                <w:rFonts w:ascii="Times New Roman" w:hAnsi="Times New Roman"/>
                <w:sz w:val="18"/>
                <w:szCs w:val="18"/>
                <w:lang w:val="en-US"/>
              </w:rPr>
              <w:t>.year</w:t>
            </w:r>
            <w:r w:rsidRPr="00E96976">
              <w:rPr>
                <w:rFonts w:ascii="Times New Roman" w:hAnsi="Times New Roman"/>
                <w:sz w:val="18"/>
                <w:szCs w:val="18"/>
                <w:vertAlign w:val="superscript"/>
                <w:lang w:val="en-US"/>
              </w:rPr>
              <w:t>-1</w:t>
            </w:r>
            <w:r w:rsidRPr="00E96976">
              <w:rPr>
                <w:rFonts w:ascii="Times New Roman" w:hAnsi="Times New Roman"/>
                <w:sz w:val="18"/>
                <w:szCs w:val="18"/>
                <w:lang w:val="en-US"/>
              </w:rPr>
              <w:t>]</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tons CO</w:t>
            </w:r>
            <w:r w:rsidRPr="00E96976">
              <w:rPr>
                <w:rFonts w:ascii="Times New Roman" w:hAnsi="Times New Roman"/>
                <w:sz w:val="18"/>
                <w:szCs w:val="18"/>
                <w:vertAlign w:val="subscript"/>
                <w:lang w:val="en-US"/>
              </w:rPr>
              <w:t>2</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 [-]</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 [-]</w:t>
            </w:r>
          </w:p>
        </w:tc>
      </w:tr>
      <w:tr w:rsidR="00E96976" w:rsidRPr="00E96976" w:rsidTr="00E96976">
        <w:trPr>
          <w:trHeight w:val="284"/>
          <w:jc w:val="center"/>
        </w:trPr>
        <w:tc>
          <w:tcPr>
            <w:tcW w:w="925" w:type="dxa"/>
            <w:vMerge w:val="restart"/>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Heating</w:t>
            </w:r>
          </w:p>
        </w:tc>
        <w:tc>
          <w:tcPr>
            <w:tcW w:w="1084"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Electric</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0.27</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6.8</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0.27</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6.9</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1.6</w:t>
            </w:r>
          </w:p>
        </w:tc>
        <w:tc>
          <w:tcPr>
            <w:tcW w:w="1559" w:type="dxa"/>
            <w:vMerge w:val="restart"/>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925"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c>
          <w:tcPr>
            <w:tcW w:w="1084"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Gas</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0.36</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9.1</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1.0</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25.3</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64.2</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Electric Cooling</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4.49</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157</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5.19</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181.4</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13.5</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Lighting</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12.95</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329</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15.61</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397.1</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17.1</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Electric equipment</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12.43</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316.4</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12.43</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316.4</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Gas equipment</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1.78</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45.3</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1.78</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45.3</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Ventilation</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2.62</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85.8</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5.56</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173.73</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52.9</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Pumps</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0.52</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16.9</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2.67</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83.1</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80.7</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Hydraulic equipment</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0.03</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0.08</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0.06</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1.6</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46.5</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925" w:type="dxa"/>
            <w:vMerge w:val="restart"/>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SWH</w:t>
            </w:r>
          </w:p>
        </w:tc>
        <w:tc>
          <w:tcPr>
            <w:tcW w:w="1084"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Gas</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0.54</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13.7</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2.58</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65.7</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79.1</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925"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c>
          <w:tcPr>
            <w:tcW w:w="1084"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Electric</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0.14</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2941</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0.14</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3.5</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0.9</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925" w:type="dxa"/>
            <w:vMerge w:val="restart"/>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SPH</w:t>
            </w:r>
          </w:p>
        </w:tc>
        <w:tc>
          <w:tcPr>
            <w:tcW w:w="1084"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Electric</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0.07</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1.7</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0.07</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1.7</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5.4</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925"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c>
          <w:tcPr>
            <w:tcW w:w="1084"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Gas</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0.52</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13.1</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0.66</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16.7</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21.9</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Mechanical equipment</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0.09</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2.3</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0.09</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2.3</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0.1</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Solar thermal</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-0.32</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-8.1</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PV</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-0.48</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-12.1</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w:t>
            </w:r>
          </w:p>
        </w:tc>
        <w:tc>
          <w:tcPr>
            <w:tcW w:w="1559" w:type="dxa"/>
            <w:vMerge/>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p>
        </w:tc>
      </w:tr>
      <w:tr w:rsidR="00E96976" w:rsidRPr="00E96976" w:rsidTr="00E96976">
        <w:trPr>
          <w:trHeight w:val="284"/>
          <w:jc w:val="center"/>
        </w:trPr>
        <w:tc>
          <w:tcPr>
            <w:tcW w:w="2009" w:type="dxa"/>
            <w:gridSpan w:val="2"/>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Total</w:t>
            </w:r>
          </w:p>
        </w:tc>
        <w:tc>
          <w:tcPr>
            <w:tcW w:w="1393"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36</w:t>
            </w:r>
          </w:p>
        </w:tc>
        <w:tc>
          <w:tcPr>
            <w:tcW w:w="91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918.8</w:t>
            </w:r>
          </w:p>
        </w:tc>
        <w:tc>
          <w:tcPr>
            <w:tcW w:w="1357"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48.1</w:t>
            </w:r>
          </w:p>
        </w:tc>
        <w:tc>
          <w:tcPr>
            <w:tcW w:w="851"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1320.5</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25.2</w:t>
            </w:r>
          </w:p>
        </w:tc>
        <w:tc>
          <w:tcPr>
            <w:tcW w:w="1559" w:type="dxa"/>
            <w:vAlign w:val="center"/>
          </w:tcPr>
          <w:p w:rsidR="00E96976" w:rsidRPr="00E96976" w:rsidRDefault="00E96976" w:rsidP="00E96976">
            <w:pPr>
              <w:pStyle w:val="aff5"/>
              <w:snapToGrid w:val="0"/>
              <w:spacing w:after="0" w:line="240" w:lineRule="auto"/>
              <w:ind w:left="0"/>
              <w:jc w:val="center"/>
              <w:rPr>
                <w:rFonts w:ascii="Times New Roman" w:hAnsi="Times New Roman"/>
                <w:sz w:val="18"/>
                <w:szCs w:val="18"/>
                <w:lang w:val="en-US"/>
              </w:rPr>
            </w:pPr>
            <w:r w:rsidRPr="00E96976">
              <w:rPr>
                <w:rFonts w:ascii="Times New Roman" w:hAnsi="Times New Roman"/>
                <w:sz w:val="18"/>
                <w:szCs w:val="18"/>
                <w:lang w:val="en-US"/>
              </w:rPr>
              <w:t>30.4</w:t>
            </w:r>
          </w:p>
        </w:tc>
      </w:tr>
    </w:tbl>
    <w:p w:rsidR="00E96976" w:rsidRPr="00E96976" w:rsidRDefault="00E96976" w:rsidP="00E96976">
      <w:pPr>
        <w:pStyle w:val="text-2"/>
        <w:snapToGrid w:val="0"/>
        <w:ind w:firstLine="120"/>
        <w:rPr>
          <w:rFonts w:eastAsiaTheme="minorEastAsia" w:hint="eastAsia"/>
          <w:color w:val="000000" w:themeColor="text1"/>
          <w:sz w:val="12"/>
          <w:szCs w:val="12"/>
          <w:lang w:val="en-US"/>
        </w:rPr>
      </w:pPr>
    </w:p>
    <w:p w:rsidR="00E96976" w:rsidRPr="00E96976" w:rsidRDefault="00E96976" w:rsidP="00E96976">
      <w:pPr>
        <w:jc w:val="both"/>
        <w:rPr>
          <w:b/>
          <w:bCs/>
          <w:color w:val="000000" w:themeColor="text1"/>
          <w:sz w:val="18"/>
          <w:szCs w:val="18"/>
        </w:rPr>
      </w:pPr>
      <w:r w:rsidRPr="00E96976">
        <w:rPr>
          <w:b/>
          <w:bCs/>
          <w:color w:val="000000" w:themeColor="text1"/>
          <w:sz w:val="18"/>
          <w:szCs w:val="18"/>
        </w:rPr>
        <w:t>Table 10  Characteristics of the CHP engine.</w:t>
      </w:r>
    </w:p>
    <w:tbl>
      <w:tblPr>
        <w:tblStyle w:val="aff0"/>
        <w:tblW w:w="9639" w:type="dxa"/>
        <w:jc w:val="center"/>
        <w:tblLook w:val="04A0"/>
      </w:tblPr>
      <w:tblGrid>
        <w:gridCol w:w="1605"/>
        <w:gridCol w:w="1606"/>
        <w:gridCol w:w="1607"/>
        <w:gridCol w:w="1607"/>
        <w:gridCol w:w="1607"/>
        <w:gridCol w:w="1607"/>
      </w:tblGrid>
      <w:tr w:rsidR="00E96976" w:rsidRPr="00E96976" w:rsidTr="00E96976">
        <w:trPr>
          <w:trHeight w:val="284"/>
          <w:jc w:val="center"/>
        </w:trPr>
        <w:tc>
          <w:tcPr>
            <w:tcW w:w="1415"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Electric power [kW]</w:t>
            </w:r>
          </w:p>
        </w:tc>
        <w:tc>
          <w:tcPr>
            <w:tcW w:w="1415"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Thermal power [kW]</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Gas consumption [kW]</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Electric efficiency [%]</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Thermal efficiency [%]</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Global efficiency [%]</w:t>
            </w:r>
          </w:p>
        </w:tc>
      </w:tr>
      <w:tr w:rsidR="00E96976" w:rsidRPr="00E96976" w:rsidTr="00E96976">
        <w:trPr>
          <w:trHeight w:val="284"/>
          <w:jc w:val="center"/>
        </w:trPr>
        <w:tc>
          <w:tcPr>
            <w:tcW w:w="1415"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330</w:t>
            </w:r>
          </w:p>
        </w:tc>
        <w:tc>
          <w:tcPr>
            <w:tcW w:w="1415"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363</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851</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38.78</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42.66</w:t>
            </w:r>
          </w:p>
        </w:tc>
        <w:tc>
          <w:tcPr>
            <w:tcW w:w="1416" w:type="dxa"/>
            <w:vAlign w:val="center"/>
          </w:tcPr>
          <w:p w:rsidR="00E96976" w:rsidRPr="00E96976" w:rsidRDefault="00E96976" w:rsidP="00E96976">
            <w:pPr>
              <w:snapToGrid w:val="0"/>
              <w:rPr>
                <w:color w:val="000000" w:themeColor="text1"/>
                <w:sz w:val="18"/>
                <w:szCs w:val="18"/>
              </w:rPr>
            </w:pPr>
            <w:r w:rsidRPr="00E96976">
              <w:rPr>
                <w:color w:val="000000" w:themeColor="text1"/>
                <w:sz w:val="18"/>
                <w:szCs w:val="18"/>
              </w:rPr>
              <w:t>81.43</w:t>
            </w:r>
          </w:p>
        </w:tc>
      </w:tr>
    </w:tbl>
    <w:p w:rsidR="00E96976" w:rsidRPr="00E96976" w:rsidRDefault="00E96976" w:rsidP="00E96976">
      <w:pPr>
        <w:pStyle w:val="text-2"/>
        <w:snapToGrid w:val="0"/>
        <w:ind w:firstLine="120"/>
        <w:rPr>
          <w:rFonts w:eastAsiaTheme="minorEastAsia" w:hint="eastAsia"/>
          <w:color w:val="000000" w:themeColor="text1"/>
          <w:sz w:val="12"/>
          <w:szCs w:val="12"/>
          <w:lang w:val="en-US"/>
        </w:rPr>
      </w:pPr>
    </w:p>
    <w:p w:rsidR="00E96976" w:rsidRDefault="00E96976" w:rsidP="00E97D21">
      <w:pPr>
        <w:pStyle w:val="text-2"/>
        <w:rPr>
          <w:rFonts w:eastAsiaTheme="minorEastAsia"/>
          <w:color w:val="000000" w:themeColor="text1"/>
          <w:lang w:val="en-US"/>
        </w:rPr>
        <w:sectPr w:rsidR="00E96976" w:rsidSect="00E96976">
          <w:type w:val="continuous"/>
          <w:pgSz w:w="11907" w:h="16160"/>
          <w:pgMar w:top="1701" w:right="1134" w:bottom="1418" w:left="1134" w:header="1134" w:footer="1134" w:gutter="0"/>
          <w:cols w:space="425"/>
          <w:titlePg/>
          <w:docGrid w:type="lines" w:linePitch="312"/>
        </w:sectPr>
      </w:pPr>
    </w:p>
    <w:p w:rsidR="00E97D21" w:rsidRPr="008605CD" w:rsidRDefault="00E97D21" w:rsidP="009E29F8">
      <w:pPr>
        <w:pStyle w:val="text-2"/>
      </w:pPr>
      <w:r w:rsidRPr="008605CD">
        <w:lastRenderedPageBreak/>
        <w:t>It should be noted that the operating system defined for the system CHCP is that the heat produced by the system first meets the heating needs, and only supplies heat to the absorption chillers to satisfy the cooling demands</w:t>
      </w:r>
      <w:r>
        <w:rPr>
          <w:rFonts w:hint="eastAsia"/>
        </w:rPr>
        <w:t xml:space="preserve"> </w:t>
      </w:r>
      <w:r w:rsidRPr="008605CD">
        <w:t>with the surplus heat not used in heating.</w:t>
      </w:r>
    </w:p>
    <w:p w:rsidR="00E97D21" w:rsidRDefault="00E97D21" w:rsidP="00E97D21">
      <w:pPr>
        <w:pStyle w:val="text-2"/>
        <w:rPr>
          <w:rFonts w:eastAsiaTheme="minorEastAsia" w:hint="eastAsia"/>
          <w:color w:val="000000" w:themeColor="text1"/>
          <w:lang w:val="en-US"/>
        </w:rPr>
      </w:pPr>
      <w:r w:rsidRPr="008605CD">
        <w:rPr>
          <w:color w:val="000000" w:themeColor="text1"/>
          <w:lang w:val="en-US"/>
        </w:rPr>
        <w:t>In order to verify the feasibility of this type of system, it is necessary to define its annual operating hours, which for the case study, will be analyzed three different possibilities. It runs 24 hours a day (8760</w:t>
      </w:r>
      <w:r>
        <w:rPr>
          <w:rFonts w:eastAsiaTheme="minorEastAsia" w:hint="eastAsia"/>
          <w:color w:val="000000" w:themeColor="text1"/>
          <w:lang w:val="en-US"/>
        </w:rPr>
        <w:t xml:space="preserve"> </w:t>
      </w:r>
      <w:r>
        <w:rPr>
          <w:color w:val="000000" w:themeColor="text1"/>
          <w:lang w:val="en-US"/>
        </w:rPr>
        <w:t>h/</w:t>
      </w:r>
      <w:r w:rsidRPr="008605CD">
        <w:rPr>
          <w:color w:val="000000" w:themeColor="text1"/>
          <w:lang w:val="en-US"/>
        </w:rPr>
        <w:t>year), or from 7 am to 24 h</w:t>
      </w:r>
      <w:r>
        <w:rPr>
          <w:color w:val="000000" w:themeColor="text1"/>
          <w:lang w:val="en-US"/>
        </w:rPr>
        <w:t>ours (6205</w:t>
      </w:r>
      <w:r>
        <w:rPr>
          <w:rFonts w:eastAsiaTheme="minorEastAsia" w:hint="eastAsia"/>
          <w:color w:val="000000" w:themeColor="text1"/>
          <w:lang w:val="en-US"/>
        </w:rPr>
        <w:t xml:space="preserve"> </w:t>
      </w:r>
      <w:r>
        <w:rPr>
          <w:color w:val="000000" w:themeColor="text1"/>
          <w:lang w:val="en-US"/>
        </w:rPr>
        <w:t>h/</w:t>
      </w:r>
      <w:r w:rsidRPr="008605CD">
        <w:rPr>
          <w:color w:val="000000" w:themeColor="text1"/>
          <w:lang w:val="en-US"/>
        </w:rPr>
        <w:t xml:space="preserve">year) because this schedule eliminates much of the </w:t>
      </w:r>
      <w:r w:rsidRPr="008605CD">
        <w:rPr>
          <w:color w:val="000000" w:themeColor="text1"/>
          <w:lang w:val="en-US"/>
        </w:rPr>
        <w:lastRenderedPageBreak/>
        <w:t>super-peak and standard empty electricity (uninteresting of the remuneration level), or from 10 am to 21h (4380</w:t>
      </w:r>
      <w:r>
        <w:rPr>
          <w:rFonts w:eastAsiaTheme="minorEastAsia" w:hint="eastAsia"/>
          <w:color w:val="000000" w:themeColor="text1"/>
          <w:lang w:val="en-US"/>
        </w:rPr>
        <w:t xml:space="preserve"> </w:t>
      </w:r>
      <w:r>
        <w:rPr>
          <w:color w:val="000000" w:themeColor="text1"/>
          <w:lang w:val="en-US"/>
        </w:rPr>
        <w:t>h/</w:t>
      </w:r>
      <w:r w:rsidRPr="008605CD">
        <w:rPr>
          <w:color w:val="000000" w:themeColor="text1"/>
          <w:lang w:val="en-US"/>
        </w:rPr>
        <w:t xml:space="preserve">year). </w:t>
      </w:r>
      <w:r w:rsidRPr="00E97D21">
        <w:rPr>
          <w:color w:val="000000" w:themeColor="text1"/>
          <w:highlight w:val="red"/>
          <w:lang w:val="en-US"/>
        </w:rPr>
        <w:t>Table 11</w:t>
      </w:r>
      <w:r w:rsidRPr="008605CD">
        <w:rPr>
          <w:color w:val="000000" w:themeColor="text1"/>
          <w:lang w:val="en-US"/>
        </w:rPr>
        <w:t xml:space="preserve"> shows the contribution of the CHCP when compared to the base case.</w:t>
      </w:r>
    </w:p>
    <w:p w:rsidR="00E97D21" w:rsidRDefault="00E97D21" w:rsidP="00E97D21">
      <w:pPr>
        <w:pStyle w:val="text-2"/>
        <w:rPr>
          <w:rFonts w:eastAsiaTheme="minorEastAsia" w:hint="eastAsia"/>
        </w:rPr>
      </w:pPr>
      <w:r w:rsidRPr="008605CD">
        <w:t>For the chosen engine, the EEE value is checked (EEE</w:t>
      </w:r>
      <w:r w:rsidR="005D70B8">
        <w:rPr>
          <w:rFonts w:eastAsiaTheme="minorEastAsia" w:hint="eastAsia"/>
        </w:rPr>
        <w:t xml:space="preserve"> </w:t>
      </w:r>
      <w:r w:rsidRPr="008605CD">
        <w:t>≥</w:t>
      </w:r>
      <w:r w:rsidR="005D70B8">
        <w:rPr>
          <w:rFonts w:eastAsiaTheme="minorEastAsia" w:hint="eastAsia"/>
        </w:rPr>
        <w:t xml:space="preserve"> </w:t>
      </w:r>
      <w:r w:rsidRPr="008605CD">
        <w:t>0.55) using just one or two engines.</w:t>
      </w:r>
      <w:r>
        <w:rPr>
          <w:rFonts w:eastAsiaTheme="minorEastAsia" w:hint="eastAsia"/>
        </w:rPr>
        <w:t xml:space="preserve"> </w:t>
      </w:r>
      <w:r w:rsidRPr="008605CD">
        <w:t>It is also be concluded that the use of this engine and its hours operation, there is the economic viability of this technology as well as the obligation to use it (payback time &lt;</w:t>
      </w:r>
      <w:r>
        <w:rPr>
          <w:rFonts w:hint="eastAsia"/>
        </w:rPr>
        <w:t xml:space="preserve"> </w:t>
      </w:r>
      <w:r w:rsidRPr="008605CD">
        <w:t>8 years)</w:t>
      </w:r>
      <w:r w:rsidR="005A745D">
        <w:rPr>
          <w:rFonts w:eastAsiaTheme="minorEastAsia" w:hint="eastAsia"/>
        </w:rPr>
        <w:t>.</w:t>
      </w:r>
    </w:p>
    <w:p w:rsidR="005A745D" w:rsidRDefault="005A745D" w:rsidP="005A745D">
      <w:pPr>
        <w:pStyle w:val="text-2"/>
        <w:ind w:firstLine="120"/>
        <w:rPr>
          <w:rFonts w:eastAsiaTheme="minorEastAsia" w:hint="eastAsia"/>
          <w:sz w:val="12"/>
          <w:szCs w:val="12"/>
        </w:rPr>
      </w:pPr>
    </w:p>
    <w:p w:rsidR="005A745D" w:rsidRPr="005A745D" w:rsidRDefault="005A745D" w:rsidP="005A745D">
      <w:pPr>
        <w:pStyle w:val="text-2"/>
        <w:snapToGrid w:val="0"/>
        <w:ind w:firstLine="120"/>
        <w:rPr>
          <w:rFonts w:eastAsiaTheme="minorEastAsia" w:hint="eastAsia"/>
          <w:sz w:val="12"/>
          <w:szCs w:val="12"/>
        </w:rPr>
      </w:pPr>
    </w:p>
    <w:p w:rsidR="005A745D" w:rsidRDefault="005A745D" w:rsidP="00E97D21">
      <w:pPr>
        <w:pStyle w:val="text-2"/>
        <w:rPr>
          <w:rFonts w:eastAsiaTheme="minorEastAsia"/>
        </w:rPr>
        <w:sectPr w:rsidR="005A745D" w:rsidSect="00E3235C">
          <w:type w:val="continuous"/>
          <w:pgSz w:w="11907" w:h="16160"/>
          <w:pgMar w:top="1701" w:right="1134" w:bottom="1418" w:left="1134" w:header="1134" w:footer="1134" w:gutter="0"/>
          <w:cols w:num="2" w:space="425"/>
          <w:titlePg/>
          <w:docGrid w:type="lines" w:linePitch="312"/>
        </w:sectPr>
      </w:pPr>
    </w:p>
    <w:p w:rsidR="005A745D" w:rsidRPr="005A745D" w:rsidRDefault="005A745D" w:rsidP="005A745D">
      <w:pPr>
        <w:jc w:val="both"/>
        <w:rPr>
          <w:b/>
          <w:bCs/>
          <w:color w:val="000000" w:themeColor="text1"/>
          <w:sz w:val="18"/>
          <w:szCs w:val="18"/>
        </w:rPr>
      </w:pPr>
      <w:r w:rsidRPr="005A745D">
        <w:rPr>
          <w:b/>
          <w:bCs/>
          <w:color w:val="000000" w:themeColor="text1"/>
          <w:sz w:val="18"/>
          <w:szCs w:val="18"/>
        </w:rPr>
        <w:lastRenderedPageBreak/>
        <w:t>Table 11  Contribution of the CHCP for the energetic needs as a function of the running hours per year.</w:t>
      </w:r>
    </w:p>
    <w:tbl>
      <w:tblPr>
        <w:tblStyle w:val="aff0"/>
        <w:tblW w:w="9639" w:type="dxa"/>
        <w:jc w:val="center"/>
        <w:tblLayout w:type="fixed"/>
        <w:tblLook w:val="04A0"/>
      </w:tblPr>
      <w:tblGrid>
        <w:gridCol w:w="2127"/>
        <w:gridCol w:w="1084"/>
        <w:gridCol w:w="1448"/>
        <w:gridCol w:w="966"/>
        <w:gridCol w:w="1608"/>
        <w:gridCol w:w="816"/>
        <w:gridCol w:w="1590"/>
      </w:tblGrid>
      <w:tr w:rsidR="005A745D" w:rsidRPr="005A745D" w:rsidTr="005A745D">
        <w:trPr>
          <w:trHeight w:val="284"/>
          <w:jc w:val="center"/>
        </w:trPr>
        <w:tc>
          <w:tcPr>
            <w:tcW w:w="2127"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Thermal needs</w:t>
            </w:r>
          </w:p>
        </w:tc>
        <w:tc>
          <w:tcPr>
            <w:tcW w:w="1084"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CHCP</w:t>
            </w:r>
          </w:p>
        </w:tc>
        <w:tc>
          <w:tcPr>
            <w:tcW w:w="1448"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Conventional system</w:t>
            </w:r>
          </w:p>
        </w:tc>
        <w:tc>
          <w:tcPr>
            <w:tcW w:w="966"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CHCP</w:t>
            </w:r>
          </w:p>
        </w:tc>
        <w:tc>
          <w:tcPr>
            <w:tcW w:w="1608"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Conventional system</w:t>
            </w:r>
          </w:p>
        </w:tc>
        <w:tc>
          <w:tcPr>
            <w:tcW w:w="816"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CHCP</w:t>
            </w:r>
          </w:p>
        </w:tc>
        <w:tc>
          <w:tcPr>
            <w:tcW w:w="1590"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Conventional system</w:t>
            </w:r>
          </w:p>
        </w:tc>
      </w:tr>
      <w:tr w:rsidR="005A745D" w:rsidRPr="005A745D" w:rsidTr="005A745D">
        <w:trPr>
          <w:trHeight w:val="284"/>
          <w:jc w:val="center"/>
        </w:trPr>
        <w:tc>
          <w:tcPr>
            <w:tcW w:w="2127" w:type="dxa"/>
            <w:vAlign w:val="center"/>
          </w:tcPr>
          <w:p w:rsidR="005A745D" w:rsidRPr="005A745D" w:rsidRDefault="005A745D" w:rsidP="005A745D">
            <w:pPr>
              <w:snapToGrid w:val="0"/>
              <w:rPr>
                <w:color w:val="000000" w:themeColor="text1"/>
                <w:sz w:val="18"/>
                <w:szCs w:val="18"/>
              </w:rPr>
            </w:pPr>
          </w:p>
        </w:tc>
        <w:tc>
          <w:tcPr>
            <w:tcW w:w="2532" w:type="dxa"/>
            <w:gridSpan w:val="2"/>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w:t>
            </w:r>
          </w:p>
        </w:tc>
        <w:tc>
          <w:tcPr>
            <w:tcW w:w="2574" w:type="dxa"/>
            <w:gridSpan w:val="2"/>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w:t>
            </w:r>
          </w:p>
        </w:tc>
        <w:tc>
          <w:tcPr>
            <w:tcW w:w="2406" w:type="dxa"/>
            <w:gridSpan w:val="2"/>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w:t>
            </w:r>
          </w:p>
        </w:tc>
      </w:tr>
      <w:tr w:rsidR="005A745D" w:rsidRPr="005A745D" w:rsidTr="005A745D">
        <w:trPr>
          <w:trHeight w:val="284"/>
          <w:jc w:val="center"/>
        </w:trPr>
        <w:tc>
          <w:tcPr>
            <w:tcW w:w="2127"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Heating</w:t>
            </w:r>
          </w:p>
        </w:tc>
        <w:tc>
          <w:tcPr>
            <w:tcW w:w="1084"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94.28</w:t>
            </w:r>
          </w:p>
        </w:tc>
        <w:tc>
          <w:tcPr>
            <w:tcW w:w="1448"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5.72</w:t>
            </w:r>
          </w:p>
        </w:tc>
        <w:tc>
          <w:tcPr>
            <w:tcW w:w="966"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70.97</w:t>
            </w:r>
          </w:p>
        </w:tc>
        <w:tc>
          <w:tcPr>
            <w:tcW w:w="1608"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29.03</w:t>
            </w:r>
          </w:p>
        </w:tc>
        <w:tc>
          <w:tcPr>
            <w:tcW w:w="816"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41.75</w:t>
            </w:r>
          </w:p>
        </w:tc>
        <w:tc>
          <w:tcPr>
            <w:tcW w:w="1590"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58.25</w:t>
            </w:r>
          </w:p>
        </w:tc>
      </w:tr>
      <w:tr w:rsidR="005A745D" w:rsidRPr="005A745D" w:rsidTr="005A745D">
        <w:trPr>
          <w:trHeight w:val="284"/>
          <w:jc w:val="center"/>
        </w:trPr>
        <w:tc>
          <w:tcPr>
            <w:tcW w:w="2127"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Cooling</w:t>
            </w:r>
          </w:p>
        </w:tc>
        <w:tc>
          <w:tcPr>
            <w:tcW w:w="1084"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39.32</w:t>
            </w:r>
          </w:p>
        </w:tc>
        <w:tc>
          <w:tcPr>
            <w:tcW w:w="1448"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60.68</w:t>
            </w:r>
          </w:p>
        </w:tc>
        <w:tc>
          <w:tcPr>
            <w:tcW w:w="966"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39.22</w:t>
            </w:r>
          </w:p>
        </w:tc>
        <w:tc>
          <w:tcPr>
            <w:tcW w:w="1608"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60.78</w:t>
            </w:r>
          </w:p>
        </w:tc>
        <w:tc>
          <w:tcPr>
            <w:tcW w:w="816"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41.12</w:t>
            </w:r>
          </w:p>
        </w:tc>
        <w:tc>
          <w:tcPr>
            <w:tcW w:w="1590"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58.88</w:t>
            </w:r>
          </w:p>
        </w:tc>
      </w:tr>
      <w:tr w:rsidR="005A745D" w:rsidRPr="005A745D" w:rsidTr="005A745D">
        <w:trPr>
          <w:trHeight w:val="284"/>
          <w:jc w:val="center"/>
        </w:trPr>
        <w:tc>
          <w:tcPr>
            <w:tcW w:w="2127" w:type="dxa"/>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Annual operating hours</w:t>
            </w:r>
          </w:p>
        </w:tc>
        <w:tc>
          <w:tcPr>
            <w:tcW w:w="2532" w:type="dxa"/>
            <w:gridSpan w:val="2"/>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8760</w:t>
            </w:r>
            <w:r>
              <w:rPr>
                <w:rFonts w:hint="eastAsia"/>
                <w:color w:val="000000" w:themeColor="text1"/>
                <w:sz w:val="18"/>
                <w:szCs w:val="18"/>
                <w:lang w:eastAsia="zh-CN"/>
              </w:rPr>
              <w:t xml:space="preserve"> </w:t>
            </w:r>
            <w:r w:rsidRPr="005A745D">
              <w:rPr>
                <w:color w:val="000000" w:themeColor="text1"/>
                <w:sz w:val="18"/>
                <w:szCs w:val="18"/>
              </w:rPr>
              <w:t>h year</w:t>
            </w:r>
            <w:r w:rsidRPr="005A745D">
              <w:rPr>
                <w:color w:val="000000" w:themeColor="text1"/>
                <w:sz w:val="18"/>
                <w:szCs w:val="18"/>
                <w:vertAlign w:val="superscript"/>
              </w:rPr>
              <w:t>-1</w:t>
            </w:r>
          </w:p>
        </w:tc>
        <w:tc>
          <w:tcPr>
            <w:tcW w:w="2574" w:type="dxa"/>
            <w:gridSpan w:val="2"/>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6205</w:t>
            </w:r>
            <w:r>
              <w:rPr>
                <w:rFonts w:hint="eastAsia"/>
                <w:color w:val="000000" w:themeColor="text1"/>
                <w:sz w:val="18"/>
                <w:szCs w:val="18"/>
                <w:lang w:eastAsia="zh-CN"/>
              </w:rPr>
              <w:t xml:space="preserve"> </w:t>
            </w:r>
            <w:r w:rsidRPr="005A745D">
              <w:rPr>
                <w:color w:val="000000" w:themeColor="text1"/>
                <w:sz w:val="18"/>
                <w:szCs w:val="18"/>
              </w:rPr>
              <w:t>h year</w:t>
            </w:r>
            <w:r w:rsidRPr="005A745D">
              <w:rPr>
                <w:color w:val="000000" w:themeColor="text1"/>
                <w:sz w:val="18"/>
                <w:szCs w:val="18"/>
                <w:vertAlign w:val="superscript"/>
              </w:rPr>
              <w:t>-1</w:t>
            </w:r>
          </w:p>
        </w:tc>
        <w:tc>
          <w:tcPr>
            <w:tcW w:w="2406" w:type="dxa"/>
            <w:gridSpan w:val="2"/>
            <w:vAlign w:val="center"/>
          </w:tcPr>
          <w:p w:rsidR="005A745D" w:rsidRPr="005A745D" w:rsidRDefault="005A745D" w:rsidP="005A745D">
            <w:pPr>
              <w:snapToGrid w:val="0"/>
              <w:rPr>
                <w:color w:val="000000" w:themeColor="text1"/>
                <w:sz w:val="18"/>
                <w:szCs w:val="18"/>
              </w:rPr>
            </w:pPr>
            <w:r w:rsidRPr="005A745D">
              <w:rPr>
                <w:color w:val="000000" w:themeColor="text1"/>
                <w:sz w:val="18"/>
                <w:szCs w:val="18"/>
              </w:rPr>
              <w:t>4380</w:t>
            </w:r>
            <w:r>
              <w:rPr>
                <w:rFonts w:hint="eastAsia"/>
                <w:color w:val="000000" w:themeColor="text1"/>
                <w:sz w:val="18"/>
                <w:szCs w:val="18"/>
                <w:lang w:eastAsia="zh-CN"/>
              </w:rPr>
              <w:t xml:space="preserve"> </w:t>
            </w:r>
            <w:r w:rsidRPr="005A745D">
              <w:rPr>
                <w:color w:val="000000" w:themeColor="text1"/>
                <w:sz w:val="18"/>
                <w:szCs w:val="18"/>
              </w:rPr>
              <w:t>h year</w:t>
            </w:r>
            <w:r w:rsidRPr="005A745D">
              <w:rPr>
                <w:color w:val="000000" w:themeColor="text1"/>
                <w:sz w:val="18"/>
                <w:szCs w:val="18"/>
                <w:vertAlign w:val="superscript"/>
              </w:rPr>
              <w:t>-1</w:t>
            </w:r>
          </w:p>
        </w:tc>
      </w:tr>
    </w:tbl>
    <w:p w:rsidR="005A745D" w:rsidRPr="005A745D" w:rsidRDefault="005A745D" w:rsidP="005A745D">
      <w:pPr>
        <w:pStyle w:val="text-2"/>
        <w:snapToGrid w:val="0"/>
        <w:ind w:firstLine="120"/>
        <w:rPr>
          <w:rFonts w:eastAsiaTheme="minorEastAsia" w:hint="eastAsia"/>
          <w:sz w:val="12"/>
          <w:szCs w:val="12"/>
        </w:rPr>
      </w:pPr>
    </w:p>
    <w:p w:rsidR="005A745D" w:rsidRDefault="005A745D" w:rsidP="00E97D21">
      <w:pPr>
        <w:pStyle w:val="Headline-1"/>
        <w:sectPr w:rsidR="005A745D" w:rsidSect="005A745D">
          <w:type w:val="continuous"/>
          <w:pgSz w:w="11907" w:h="16160"/>
          <w:pgMar w:top="1701" w:right="1134" w:bottom="1418" w:left="1134" w:header="1134" w:footer="1134" w:gutter="0"/>
          <w:cols w:space="425"/>
          <w:titlePg/>
          <w:docGrid w:type="lines" w:linePitch="312"/>
        </w:sectPr>
      </w:pPr>
    </w:p>
    <w:p w:rsidR="00E97D21" w:rsidRPr="008605CD" w:rsidRDefault="00E97D21" w:rsidP="00E97D21">
      <w:pPr>
        <w:pStyle w:val="Headline-1"/>
      </w:pPr>
      <w:r w:rsidRPr="008605CD">
        <w:lastRenderedPageBreak/>
        <w:t>7</w:t>
      </w:r>
      <w:r>
        <w:rPr>
          <w:rFonts w:hint="eastAsia"/>
          <w:lang w:eastAsia="zh-CN"/>
        </w:rPr>
        <w:t>.</w:t>
      </w:r>
      <w:r w:rsidRPr="008605CD">
        <w:t xml:space="preserve"> Conclusions</w:t>
      </w:r>
    </w:p>
    <w:p w:rsidR="00E97D21" w:rsidRPr="008605CD" w:rsidRDefault="00E97D21" w:rsidP="00E97D21">
      <w:pPr>
        <w:pStyle w:val="text-2"/>
      </w:pPr>
      <w:r w:rsidRPr="008605CD">
        <w:t>In this work it was carried out an energetic and economic analysis of the contribution of passive and active solutions for buildings in order to reduce</w:t>
      </w:r>
      <w:r>
        <w:rPr>
          <w:rFonts w:hint="eastAsia"/>
        </w:rPr>
        <w:t xml:space="preserve"> </w:t>
      </w:r>
      <w:r w:rsidRPr="008605CD">
        <w:t>its energy consumption</w:t>
      </w:r>
      <w:r>
        <w:rPr>
          <w:rFonts w:hint="eastAsia"/>
        </w:rPr>
        <w:t xml:space="preserve"> </w:t>
      </w:r>
      <w:r w:rsidRPr="008605CD">
        <w:t>as well as the avoided CO</w:t>
      </w:r>
      <w:r w:rsidRPr="008605CD">
        <w:rPr>
          <w:vertAlign w:val="subscript"/>
        </w:rPr>
        <w:t>2</w:t>
      </w:r>
      <w:r w:rsidRPr="008605CD">
        <w:t xml:space="preserve"> emissions.</w:t>
      </w:r>
      <w:r>
        <w:rPr>
          <w:rFonts w:hint="eastAsia"/>
        </w:rPr>
        <w:t xml:space="preserve"> </w:t>
      </w:r>
      <w:r w:rsidRPr="008605CD">
        <w:t>The contribution of renewable energy</w:t>
      </w:r>
      <w:r>
        <w:rPr>
          <w:rFonts w:hint="eastAsia"/>
        </w:rPr>
        <w:t xml:space="preserve"> </w:t>
      </w:r>
      <w:r w:rsidRPr="008605CD">
        <w:t>sources and the assessment of the contribution of a CHCP system was also studied. For that, dynamic codes were used to obtain all the thermal needs of a hotel located in Portugal.</w:t>
      </w:r>
    </w:p>
    <w:p w:rsidR="00E97D21" w:rsidRPr="008605CD" w:rsidRDefault="00E97D21" w:rsidP="005D70B8">
      <w:pPr>
        <w:pStyle w:val="text-2"/>
      </w:pPr>
      <w:r w:rsidRPr="008605CD">
        <w:t>The simulations with nominal conditions (base case) showed that</w:t>
      </w:r>
      <w:r w:rsidR="005D70B8">
        <w:rPr>
          <w:rFonts w:hint="eastAsia"/>
        </w:rPr>
        <w:t xml:space="preserve"> </w:t>
      </w:r>
      <w:r w:rsidRPr="008605CD">
        <w:t xml:space="preserve">the total energy consumed in the building is </w:t>
      </w:r>
      <w:r w:rsidR="005D70B8">
        <w:t>4.84 GWh/</w:t>
      </w:r>
      <w:r w:rsidRPr="008605CD">
        <w:t>year, where under the conditions set for this model, it achieved a EEI</w:t>
      </w:r>
      <w:r w:rsidRPr="008605CD">
        <w:rPr>
          <w:vertAlign w:val="subscript"/>
        </w:rPr>
        <w:t>nominal</w:t>
      </w:r>
      <w:r w:rsidRPr="008605CD">
        <w:t xml:space="preserve"> of 48.1 kgep.m</w:t>
      </w:r>
      <w:r w:rsidRPr="008605CD">
        <w:rPr>
          <w:vertAlign w:val="superscript"/>
        </w:rPr>
        <w:t>-2</w:t>
      </w:r>
      <w:r w:rsidRPr="008605CD">
        <w:t>.year</w:t>
      </w:r>
      <w:r w:rsidRPr="008605CD">
        <w:rPr>
          <w:vertAlign w:val="superscript"/>
        </w:rPr>
        <w:t>-1</w:t>
      </w:r>
      <w:r w:rsidRPr="008605CD">
        <w:t>, indicating that the building features an energy rating of B</w:t>
      </w:r>
      <w:r w:rsidRPr="008605CD">
        <w:rPr>
          <w:vertAlign w:val="superscript"/>
        </w:rPr>
        <w:t>-</w:t>
      </w:r>
      <w:r w:rsidRPr="008605CD">
        <w:t xml:space="preserve"> [EEI</w:t>
      </w:r>
      <w:r w:rsidRPr="008605CD">
        <w:rPr>
          <w:vertAlign w:val="subscript"/>
        </w:rPr>
        <w:t xml:space="preserve"> nominal</w:t>
      </w:r>
      <w:r w:rsidRPr="008605CD">
        <w:t xml:space="preserve"> (48.10) &lt;</w:t>
      </w:r>
      <w:r w:rsidR="005D70B8">
        <w:rPr>
          <w:rFonts w:hint="eastAsia"/>
        </w:rPr>
        <w:t xml:space="preserve"> </w:t>
      </w:r>
      <w:r w:rsidRPr="008605CD">
        <w:t>EEI</w:t>
      </w:r>
      <w:r w:rsidRPr="008605CD">
        <w:rPr>
          <w:vertAlign w:val="subscript"/>
        </w:rPr>
        <w:t>reference</w:t>
      </w:r>
      <w:r w:rsidRPr="008605CD">
        <w:t xml:space="preserve"> (49.02) kgep.m</w:t>
      </w:r>
      <w:r w:rsidRPr="008605CD">
        <w:rPr>
          <w:vertAlign w:val="superscript"/>
        </w:rPr>
        <w:t>-2</w:t>
      </w:r>
      <w:r w:rsidRPr="008605CD">
        <w:t>.year</w:t>
      </w:r>
      <w:r w:rsidRPr="008605CD">
        <w:rPr>
          <w:vertAlign w:val="superscript"/>
        </w:rPr>
        <w:t>-1</w:t>
      </w:r>
      <w:r w:rsidRPr="008605CD">
        <w:t>. Regarding the emission level of CO</w:t>
      </w:r>
      <w:r w:rsidRPr="008605CD">
        <w:rPr>
          <w:vertAlign w:val="subscript"/>
        </w:rPr>
        <w:t>2</w:t>
      </w:r>
      <w:r w:rsidRPr="008605CD">
        <w:t>, this building would emit 1320.5 equivalent tons of CO</w:t>
      </w:r>
      <w:r w:rsidRPr="008605CD">
        <w:rPr>
          <w:vertAlign w:val="subscript"/>
        </w:rPr>
        <w:t>2</w:t>
      </w:r>
      <w:r w:rsidRPr="008605CD">
        <w:t xml:space="preserve"> per year. The consumption of HVAC (heating, cooling, ventilation and pumps), represents 35.7% of primary energy consumption, lighting 30.1%, consumption on the equipment is 27.6% and 6.6% referred to sanitary hot water and swimming pool water.</w:t>
      </w:r>
    </w:p>
    <w:p w:rsidR="00E97D21" w:rsidRPr="008605CD" w:rsidRDefault="00E97D21" w:rsidP="005D70B8">
      <w:pPr>
        <w:pStyle w:val="text-2"/>
      </w:pPr>
      <w:r w:rsidRPr="008605CD">
        <w:t>At a passive level, a sensitivity analysis to the base case was also done. Regarding the changes in the opaque envelope, the best solution was ALT1 shows a decrease in the consumption, both for heating (4.27%) and cooling (14.3%) and a consequent reduction of ventilation and pumping systems. The avoided CO</w:t>
      </w:r>
      <w:r w:rsidRPr="008605CD">
        <w:rPr>
          <w:vertAlign w:val="subscript"/>
        </w:rPr>
        <w:t>2</w:t>
      </w:r>
      <w:r w:rsidRPr="008605CD">
        <w:t xml:space="preserve"> emissions are 6.4% and the payback time is 5.6 years. Regarding the glazing envelope and from the results of the analysis it is concluded that a glass with a solar factor of 0.40 is the best one, since this solution </w:t>
      </w:r>
      <w:r w:rsidRPr="008605CD">
        <w:lastRenderedPageBreak/>
        <w:t>becomes attractive in terms of p</w:t>
      </w:r>
      <w:r w:rsidR="005D70B8">
        <w:t>ayback time in the range of 7.3-</w:t>
      </w:r>
      <w:r w:rsidRPr="008605CD">
        <w:t>10.6 years as a function of the different types of frames that can be used.</w:t>
      </w:r>
    </w:p>
    <w:p w:rsidR="00E97D21" w:rsidRPr="00E97D21" w:rsidRDefault="00E97D21" w:rsidP="00E97D21">
      <w:pPr>
        <w:pStyle w:val="text-2"/>
        <w:rPr>
          <w:rFonts w:eastAsiaTheme="minorEastAsia" w:hint="eastAsia"/>
          <w:lang w:val="id-ID"/>
        </w:rPr>
      </w:pPr>
      <w:r w:rsidRPr="008605CD">
        <w:rPr>
          <w:color w:val="000000" w:themeColor="text1"/>
          <w:lang w:val="en-US"/>
        </w:rPr>
        <w:t>At an active level it was analyzed the use of solar thermal panels for hot water heating.</w:t>
      </w:r>
      <w:r w:rsidR="005D70B8">
        <w:rPr>
          <w:rFonts w:eastAsiaTheme="minorEastAsia" w:hint="eastAsia"/>
          <w:color w:val="000000" w:themeColor="text1"/>
          <w:lang w:val="en-US"/>
        </w:rPr>
        <w:t xml:space="preserve"> </w:t>
      </w:r>
      <w:r w:rsidRPr="008605CD">
        <w:rPr>
          <w:color w:val="000000" w:themeColor="text1"/>
          <w:lang w:val="en-US"/>
        </w:rPr>
        <w:t>The lower payback time is around 8 years. For this situation, the EEI is 41.5 Kgep.m</w:t>
      </w:r>
      <w:r w:rsidRPr="008605CD">
        <w:rPr>
          <w:color w:val="000000" w:themeColor="text1"/>
          <w:vertAlign w:val="superscript"/>
          <w:lang w:val="en-US"/>
        </w:rPr>
        <w:t>-2</w:t>
      </w:r>
      <w:r w:rsidRPr="008605CD">
        <w:rPr>
          <w:color w:val="000000" w:themeColor="text1"/>
          <w:lang w:val="en-US"/>
        </w:rPr>
        <w:t>.year</w:t>
      </w:r>
      <w:r w:rsidRPr="008605CD">
        <w:rPr>
          <w:color w:val="000000" w:themeColor="text1"/>
          <w:vertAlign w:val="superscript"/>
          <w:lang w:val="en-US"/>
        </w:rPr>
        <w:t>-1</w:t>
      </w:r>
      <w:r w:rsidRPr="008605CD">
        <w:rPr>
          <w:color w:val="000000" w:themeColor="text1"/>
          <w:lang w:val="en-US"/>
        </w:rPr>
        <w:t xml:space="preserve"> and becomes lower than the reference value, 44.1 Kgep.m</w:t>
      </w:r>
      <w:r w:rsidRPr="008605CD">
        <w:rPr>
          <w:color w:val="000000" w:themeColor="text1"/>
          <w:vertAlign w:val="superscript"/>
          <w:lang w:val="en-US"/>
        </w:rPr>
        <w:t>-2</w:t>
      </w:r>
      <w:r w:rsidRPr="008605CD">
        <w:rPr>
          <w:color w:val="000000" w:themeColor="text1"/>
          <w:lang w:val="en-US"/>
        </w:rPr>
        <w:t>.year</w:t>
      </w:r>
      <w:r w:rsidRPr="008605CD">
        <w:rPr>
          <w:color w:val="000000" w:themeColor="text1"/>
          <w:vertAlign w:val="superscript"/>
          <w:lang w:val="en-US"/>
        </w:rPr>
        <w:t>-1</w:t>
      </w:r>
      <w:r w:rsidRPr="008605CD">
        <w:rPr>
          <w:color w:val="000000" w:themeColor="text1"/>
          <w:lang w:val="en-US"/>
        </w:rPr>
        <w:t>.</w:t>
      </w:r>
      <w:r w:rsidRPr="008605CD">
        <w:rPr>
          <w:lang w:val="en-US"/>
        </w:rPr>
        <w:t>Also t</w:t>
      </w:r>
      <w:r w:rsidRPr="008605CD">
        <w:rPr>
          <w:color w:val="000000" w:themeColor="text1"/>
          <w:lang w:val="en-US"/>
        </w:rPr>
        <w:t>wo types of photovoltaic panels were analyzed:</w:t>
      </w:r>
      <w:r>
        <w:rPr>
          <w:rFonts w:eastAsiaTheme="minorEastAsia" w:hint="eastAsia"/>
          <w:color w:val="000000" w:themeColor="text1"/>
          <w:lang w:val="en-US"/>
        </w:rPr>
        <w:t xml:space="preserve"> </w:t>
      </w:r>
      <w:r w:rsidRPr="008605CD">
        <w:rPr>
          <w:color w:val="000000" w:themeColor="text1"/>
          <w:lang w:val="en-US"/>
        </w:rPr>
        <w:t>amorphous silicon and poly-crystalline silicon. It was concluded that the amorphous silicon panels are penalized because they require more than twice the solar capture area. So it was chosen</w:t>
      </w:r>
      <w:r>
        <w:rPr>
          <w:rFonts w:eastAsiaTheme="minorEastAsia" w:hint="eastAsia"/>
          <w:color w:val="000000" w:themeColor="text1"/>
          <w:lang w:val="en-US"/>
        </w:rPr>
        <w:t xml:space="preserve"> </w:t>
      </w:r>
      <w:r w:rsidRPr="008605CD">
        <w:rPr>
          <w:color w:val="000000" w:themeColor="text1"/>
          <w:lang w:val="en-US"/>
        </w:rPr>
        <w:t>the polycrystalline silicon panels whit 92 modules. The power pick is 20 kWp and</w:t>
      </w:r>
      <w:r>
        <w:rPr>
          <w:rFonts w:eastAsiaTheme="minorEastAsia" w:hint="eastAsia"/>
          <w:color w:val="000000" w:themeColor="text1"/>
          <w:lang w:val="en-US"/>
        </w:rPr>
        <w:t xml:space="preserve"> </w:t>
      </w:r>
      <w:r w:rsidRPr="008605CD">
        <w:rPr>
          <w:color w:val="000000" w:themeColor="text1"/>
          <w:lang w:val="en-US"/>
        </w:rPr>
        <w:t>the EEI is 42 Kgep.m</w:t>
      </w:r>
      <w:r w:rsidRPr="008605CD">
        <w:rPr>
          <w:color w:val="000000" w:themeColor="text1"/>
          <w:vertAlign w:val="superscript"/>
          <w:lang w:val="en-US"/>
        </w:rPr>
        <w:t>-2</w:t>
      </w:r>
      <w:r w:rsidRPr="008605CD">
        <w:rPr>
          <w:color w:val="000000" w:themeColor="text1"/>
          <w:lang w:val="en-US"/>
        </w:rPr>
        <w:t>.year</w:t>
      </w:r>
      <w:r w:rsidRPr="008605CD">
        <w:rPr>
          <w:color w:val="000000" w:themeColor="text1"/>
          <w:vertAlign w:val="superscript"/>
          <w:lang w:val="en-US"/>
        </w:rPr>
        <w:t>-1</w:t>
      </w:r>
      <w:r w:rsidRPr="008605CD">
        <w:rPr>
          <w:color w:val="000000" w:themeColor="text1"/>
          <w:lang w:val="en-US"/>
        </w:rPr>
        <w:t>.</w:t>
      </w:r>
      <w:r w:rsidR="005A745D">
        <w:rPr>
          <w:color w:val="000000" w:themeColor="text1"/>
          <w:lang w:val="en-US"/>
        </w:rPr>
        <w:t xml:space="preserve"> With this solution</w:t>
      </w:r>
      <w:r w:rsidRPr="008605CD">
        <w:rPr>
          <w:color w:val="000000" w:themeColor="text1"/>
          <w:lang w:val="en-US"/>
        </w:rPr>
        <w:t>, it was concluded that they contribute to a reduction of thermal needs of 25.2% and avoided emissions of equivalent tons of CO</w:t>
      </w:r>
      <w:r w:rsidRPr="008605CD">
        <w:rPr>
          <w:color w:val="000000" w:themeColor="text1"/>
          <w:vertAlign w:val="subscript"/>
          <w:lang w:val="en-US"/>
        </w:rPr>
        <w:t>2</w:t>
      </w:r>
      <w:r w:rsidRPr="008605CD">
        <w:rPr>
          <w:color w:val="000000" w:themeColor="text1"/>
          <w:lang w:val="en-US"/>
        </w:rPr>
        <w:t xml:space="preserve"> of 30.4</w:t>
      </w:r>
      <w:r>
        <w:rPr>
          <w:color w:val="000000" w:themeColor="text1"/>
          <w:lang w:val="en-US"/>
        </w:rPr>
        <w:t>%.</w:t>
      </w:r>
      <w:r w:rsidRPr="008605CD">
        <w:rPr>
          <w:color w:val="000000" w:themeColor="text1"/>
          <w:lang w:val="en-US"/>
        </w:rPr>
        <w:t xml:space="preserve"> Regarding the use of CHCP the best solution chosen was a four stroke internal combustion engine running with natural gas, and coupled to an absorption chiller.</w:t>
      </w:r>
      <w:r>
        <w:rPr>
          <w:rFonts w:eastAsiaTheme="minorEastAsia" w:hint="eastAsia"/>
          <w:color w:val="000000" w:themeColor="text1"/>
          <w:lang w:val="en-US"/>
        </w:rPr>
        <w:t xml:space="preserve"> </w:t>
      </w:r>
      <w:r w:rsidRPr="008605CD">
        <w:rPr>
          <w:color w:val="000000" w:themeColor="text1"/>
          <w:lang w:val="en-US"/>
        </w:rPr>
        <w:t>The contribution of this type of engine to fulfill the heating requirements of the building lies in the range of 44 to 94% and for cooling the range is 39-61% (depending upon the working system profiles). It is also concluded that, the use of this engine and its operating hours, there is the economic viability of this technology as well as the obligation to use it (payback time</w:t>
      </w:r>
      <w:r>
        <w:rPr>
          <w:rFonts w:eastAsiaTheme="minorEastAsia" w:hint="eastAsia"/>
          <w:color w:val="000000" w:themeColor="text1"/>
          <w:lang w:val="en-US"/>
        </w:rPr>
        <w:t xml:space="preserve"> </w:t>
      </w:r>
      <w:r w:rsidRPr="008605CD">
        <w:rPr>
          <w:color w:val="000000" w:themeColor="text1"/>
          <w:lang w:val="en-US"/>
        </w:rPr>
        <w:t>&lt;</w:t>
      </w:r>
      <w:r>
        <w:rPr>
          <w:rFonts w:eastAsiaTheme="minorEastAsia" w:hint="eastAsia"/>
          <w:color w:val="000000" w:themeColor="text1"/>
          <w:lang w:val="en-US"/>
        </w:rPr>
        <w:t xml:space="preserve"> </w:t>
      </w:r>
      <w:r w:rsidRPr="008605CD">
        <w:rPr>
          <w:color w:val="000000" w:themeColor="text1"/>
          <w:lang w:val="en-US"/>
        </w:rPr>
        <w:t>8 years).</w:t>
      </w:r>
    </w:p>
    <w:p w:rsidR="00284B72" w:rsidRPr="001B004C" w:rsidRDefault="00284B72" w:rsidP="00B525F8">
      <w:pPr>
        <w:pStyle w:val="Headline-1"/>
        <w:rPr>
          <w:rFonts w:hint="eastAsia"/>
        </w:rPr>
      </w:pPr>
      <w:r w:rsidRPr="001B004C">
        <w:t>References</w:t>
      </w:r>
      <w:r w:rsidRPr="001B004C">
        <w:rPr>
          <w:rFonts w:hint="eastAsia"/>
        </w:rPr>
        <w:t xml:space="preserve"> </w:t>
      </w:r>
    </w:p>
    <w:p w:rsidR="005D70B8" w:rsidRDefault="005D70B8" w:rsidP="00A43444">
      <w:pPr>
        <w:pStyle w:val="Reference-1"/>
        <w:rPr>
          <w:lang w:bidi="ar-IQ"/>
        </w:rPr>
      </w:pPr>
      <w:r>
        <w:rPr>
          <w:rFonts w:hint="eastAsia"/>
          <w:lang w:bidi="ar-IQ"/>
        </w:rPr>
        <w:t>Ç</w:t>
      </w:r>
      <w:r w:rsidR="00A43444">
        <w:rPr>
          <w:lang w:bidi="ar-IQ"/>
        </w:rPr>
        <w:t>engel Yunus</w:t>
      </w:r>
      <w:r w:rsidR="00A43444">
        <w:rPr>
          <w:rFonts w:eastAsiaTheme="minorEastAsia" w:hint="eastAsia"/>
          <w:lang w:bidi="ar-IQ"/>
        </w:rPr>
        <w:t xml:space="preserve"> and</w:t>
      </w:r>
      <w:r w:rsidR="00A43444">
        <w:rPr>
          <w:lang w:bidi="ar-IQ"/>
        </w:rPr>
        <w:t xml:space="preserve"> Boles, Michael</w:t>
      </w:r>
      <w:r w:rsidR="00A43444">
        <w:rPr>
          <w:rFonts w:eastAsiaTheme="minorEastAsia" w:hint="eastAsia"/>
          <w:lang w:bidi="ar-IQ"/>
        </w:rPr>
        <w:t>,</w:t>
      </w:r>
      <w:r>
        <w:rPr>
          <w:lang w:bidi="ar-IQ"/>
        </w:rPr>
        <w:t xml:space="preserve"> </w:t>
      </w:r>
      <w:r w:rsidRPr="00A43444">
        <w:rPr>
          <w:i/>
          <w:iCs/>
          <w:lang w:bidi="ar-IQ"/>
        </w:rPr>
        <w:t>Thermodynamics</w:t>
      </w:r>
      <w:r w:rsidR="00A43444">
        <w:rPr>
          <w:rFonts w:eastAsiaTheme="minorEastAsia" w:hint="eastAsia"/>
          <w:lang w:bidi="ar-IQ"/>
        </w:rPr>
        <w:t>,</w:t>
      </w:r>
      <w:r>
        <w:rPr>
          <w:lang w:bidi="ar-IQ"/>
        </w:rPr>
        <w:t xml:space="preserve"> Mc Graw Hill, 2002.</w:t>
      </w:r>
    </w:p>
    <w:p w:rsidR="005D70B8" w:rsidRDefault="00A43444" w:rsidP="00A43444">
      <w:pPr>
        <w:pStyle w:val="Reference-1"/>
        <w:rPr>
          <w:lang w:bidi="ar-IQ"/>
        </w:rPr>
      </w:pPr>
      <w:r>
        <w:rPr>
          <w:lang w:bidi="ar-IQ"/>
        </w:rPr>
        <w:t>C.</w:t>
      </w:r>
      <w:r>
        <w:rPr>
          <w:rFonts w:eastAsiaTheme="minorEastAsia" w:hint="eastAsia"/>
          <w:lang w:bidi="ar-IQ"/>
        </w:rPr>
        <w:t xml:space="preserve"> </w:t>
      </w:r>
      <w:r w:rsidR="005D70B8">
        <w:rPr>
          <w:lang w:bidi="ar-IQ"/>
        </w:rPr>
        <w:t xml:space="preserve">Afonso, </w:t>
      </w:r>
      <w:r w:rsidR="005D70B8" w:rsidRPr="00A43444">
        <w:rPr>
          <w:i/>
          <w:iCs/>
          <w:lang w:bidi="ar-IQ"/>
        </w:rPr>
        <w:t>Thermodynamics for Engineers</w:t>
      </w:r>
      <w:r w:rsidR="005D70B8">
        <w:rPr>
          <w:lang w:bidi="ar-IQ"/>
        </w:rPr>
        <w:t xml:space="preserve">, FEUP </w:t>
      </w:r>
      <w:r>
        <w:rPr>
          <w:rFonts w:eastAsiaTheme="minorEastAsia" w:hint="eastAsia"/>
          <w:lang w:bidi="ar-IQ"/>
        </w:rPr>
        <w:t>E</w:t>
      </w:r>
      <w:r w:rsidR="005D70B8">
        <w:rPr>
          <w:lang w:bidi="ar-IQ"/>
        </w:rPr>
        <w:t>d., Porto, Portugal, 2012. (</w:t>
      </w:r>
      <w:r>
        <w:rPr>
          <w:rFonts w:eastAsiaTheme="minorEastAsia" w:hint="eastAsia"/>
          <w:lang w:bidi="ar-IQ"/>
        </w:rPr>
        <w:t>i</w:t>
      </w:r>
      <w:r>
        <w:rPr>
          <w:lang w:bidi="ar-IQ"/>
        </w:rPr>
        <w:t>n Portuguese)</w:t>
      </w:r>
    </w:p>
    <w:p w:rsidR="005D70B8" w:rsidRDefault="00A43444" w:rsidP="00A43444">
      <w:pPr>
        <w:pStyle w:val="Reference-1"/>
        <w:rPr>
          <w:lang w:bidi="ar-IQ"/>
        </w:rPr>
      </w:pPr>
      <w:r>
        <w:rPr>
          <w:lang w:bidi="ar-IQ"/>
        </w:rPr>
        <w:lastRenderedPageBreak/>
        <w:t>Commission of the European Communities,</w:t>
      </w:r>
      <w:r>
        <w:rPr>
          <w:rFonts w:eastAsiaTheme="minorEastAsia" w:hint="eastAsia"/>
          <w:lang w:bidi="ar-IQ"/>
        </w:rPr>
        <w:t xml:space="preserve"> </w:t>
      </w:r>
      <w:r w:rsidR="005D70B8">
        <w:rPr>
          <w:lang w:bidi="ar-IQ"/>
        </w:rPr>
        <w:t xml:space="preserve">A </w:t>
      </w:r>
      <w:r>
        <w:rPr>
          <w:lang w:bidi="ar-IQ"/>
        </w:rPr>
        <w:t>review of cogeneration equipment and selected installations</w:t>
      </w:r>
      <w:r w:rsidR="005D70B8">
        <w:rPr>
          <w:lang w:bidi="ar-IQ"/>
        </w:rPr>
        <w:t xml:space="preserve"> in Europe, Directorate-General XVII for Energy, OPET, 1997.</w:t>
      </w:r>
    </w:p>
    <w:p w:rsidR="005D70B8" w:rsidRDefault="00A43444" w:rsidP="00A43444">
      <w:pPr>
        <w:pStyle w:val="Reference-1"/>
        <w:rPr>
          <w:lang w:bidi="ar-IQ"/>
        </w:rPr>
      </w:pPr>
      <w:r>
        <w:rPr>
          <w:lang w:bidi="ar-IQ"/>
        </w:rPr>
        <w:t>C.</w:t>
      </w:r>
      <w:r>
        <w:rPr>
          <w:rFonts w:eastAsiaTheme="minorEastAsia" w:hint="eastAsia"/>
          <w:lang w:bidi="ar-IQ"/>
        </w:rPr>
        <w:t xml:space="preserve"> </w:t>
      </w:r>
      <w:r>
        <w:rPr>
          <w:lang w:bidi="ar-IQ"/>
        </w:rPr>
        <w:t>Afonso</w:t>
      </w:r>
      <w:r>
        <w:rPr>
          <w:rFonts w:eastAsiaTheme="minorEastAsia" w:hint="eastAsia"/>
          <w:lang w:bidi="ar-IQ"/>
        </w:rPr>
        <w:t xml:space="preserve"> and</w:t>
      </w:r>
      <w:r w:rsidRPr="00A43444">
        <w:rPr>
          <w:lang w:bidi="ar-IQ"/>
        </w:rPr>
        <w:t xml:space="preserve"> </w:t>
      </w:r>
      <w:r>
        <w:rPr>
          <w:lang w:bidi="ar-IQ"/>
        </w:rPr>
        <w:t>T.</w:t>
      </w:r>
      <w:r w:rsidR="005D70B8">
        <w:rPr>
          <w:lang w:bidi="ar-IQ"/>
        </w:rPr>
        <w:t xml:space="preserve"> Moutinho, Energetic, Economical </w:t>
      </w:r>
      <w:r>
        <w:rPr>
          <w:lang w:bidi="ar-IQ"/>
        </w:rPr>
        <w:t>analysis and avoi</w:t>
      </w:r>
      <w:r w:rsidR="005D70B8">
        <w:rPr>
          <w:lang w:bidi="ar-IQ"/>
        </w:rPr>
        <w:t>ded CO</w:t>
      </w:r>
      <w:r w:rsidR="005D70B8" w:rsidRPr="00A43444">
        <w:rPr>
          <w:vertAlign w:val="subscript"/>
          <w:lang w:bidi="ar-IQ"/>
        </w:rPr>
        <w:t>2</w:t>
      </w:r>
      <w:r w:rsidR="005D70B8">
        <w:rPr>
          <w:lang w:bidi="ar-IQ"/>
        </w:rPr>
        <w:t xml:space="preserve"> </w:t>
      </w:r>
      <w:r>
        <w:rPr>
          <w:lang w:bidi="ar-IQ"/>
        </w:rPr>
        <w:t>emissions in a cogeneration system regarding the legislati</w:t>
      </w:r>
      <w:r w:rsidR="005D70B8">
        <w:rPr>
          <w:lang w:bidi="ar-IQ"/>
        </w:rPr>
        <w:t>on</w:t>
      </w:r>
      <w:r>
        <w:rPr>
          <w:rFonts w:eastAsiaTheme="minorEastAsia" w:hint="eastAsia"/>
          <w:lang w:bidi="ar-IQ"/>
        </w:rPr>
        <w:t>,</w:t>
      </w:r>
      <w:r w:rsidR="005D70B8">
        <w:rPr>
          <w:lang w:bidi="ar-IQ"/>
        </w:rPr>
        <w:t xml:space="preserve"> </w:t>
      </w:r>
      <w:r w:rsidR="005D70B8" w:rsidRPr="00A43444">
        <w:rPr>
          <w:i/>
          <w:iCs/>
          <w:lang w:bidi="ar-IQ"/>
        </w:rPr>
        <w:t>International Journal of Mechanical Engineering and Automation</w:t>
      </w:r>
      <w:r>
        <w:rPr>
          <w:lang w:bidi="ar-IQ"/>
        </w:rPr>
        <w:t xml:space="preserve"> 1</w:t>
      </w:r>
      <w:r>
        <w:rPr>
          <w:rFonts w:eastAsiaTheme="minorEastAsia" w:hint="eastAsia"/>
          <w:lang w:bidi="ar-IQ"/>
        </w:rPr>
        <w:t xml:space="preserve"> (</w:t>
      </w:r>
      <w:r w:rsidR="005D70B8">
        <w:rPr>
          <w:lang w:bidi="ar-IQ"/>
        </w:rPr>
        <w:t>2</w:t>
      </w:r>
      <w:r>
        <w:rPr>
          <w:rFonts w:eastAsiaTheme="minorEastAsia" w:hint="eastAsia"/>
          <w:lang w:bidi="ar-IQ"/>
        </w:rPr>
        <w:t>)</w:t>
      </w:r>
      <w:r w:rsidR="005D70B8">
        <w:rPr>
          <w:lang w:bidi="ar-IQ"/>
        </w:rPr>
        <w:t xml:space="preserve"> </w:t>
      </w:r>
      <w:r>
        <w:rPr>
          <w:rFonts w:eastAsiaTheme="minorEastAsia" w:hint="eastAsia"/>
          <w:lang w:bidi="ar-IQ"/>
        </w:rPr>
        <w:t>(</w:t>
      </w:r>
      <w:r w:rsidR="005D70B8">
        <w:rPr>
          <w:lang w:bidi="ar-IQ"/>
        </w:rPr>
        <w:t>2014</w:t>
      </w:r>
      <w:r>
        <w:rPr>
          <w:rFonts w:eastAsiaTheme="minorEastAsia" w:hint="eastAsia"/>
          <w:lang w:bidi="ar-IQ"/>
        </w:rPr>
        <w:t>)</w:t>
      </w:r>
      <w:r w:rsidR="005D70B8">
        <w:rPr>
          <w:lang w:bidi="ar-IQ"/>
        </w:rPr>
        <w:t>.</w:t>
      </w:r>
    </w:p>
    <w:p w:rsidR="005D70B8" w:rsidRDefault="00A43444" w:rsidP="00713FA0">
      <w:pPr>
        <w:pStyle w:val="Reference-1"/>
        <w:rPr>
          <w:lang w:bidi="ar-IQ"/>
        </w:rPr>
      </w:pPr>
      <w:r>
        <w:rPr>
          <w:lang w:bidi="ar-IQ"/>
        </w:rPr>
        <w:t>Cogeneration—Fact sheet No. 1</w:t>
      </w:r>
      <w:r>
        <w:rPr>
          <w:rFonts w:eastAsiaTheme="minorEastAsia" w:hint="eastAsia"/>
          <w:lang w:bidi="ar-IQ"/>
        </w:rPr>
        <w:t>, available online at:</w:t>
      </w:r>
      <w:r w:rsidR="00713FA0">
        <w:rPr>
          <w:rFonts w:eastAsiaTheme="minorEastAsia" w:hint="eastAsia"/>
          <w:lang w:bidi="ar-IQ"/>
        </w:rPr>
        <w:t xml:space="preserve"> </w:t>
      </w:r>
      <w:r w:rsidR="005D70B8">
        <w:rPr>
          <w:lang w:bidi="ar-IQ"/>
        </w:rPr>
        <w:t>http://www.cogenportugal.com/ficheirosupload/Fact%20Sheets.pdf.</w:t>
      </w:r>
    </w:p>
    <w:p w:rsidR="005D70B8" w:rsidRDefault="00A43444" w:rsidP="005D70B8">
      <w:pPr>
        <w:pStyle w:val="Reference-1"/>
        <w:rPr>
          <w:lang w:bidi="ar-IQ"/>
        </w:rPr>
      </w:pPr>
      <w:r>
        <w:rPr>
          <w:lang w:bidi="ar-IQ"/>
        </w:rPr>
        <w:t>Polimeros George</w:t>
      </w:r>
      <w:r>
        <w:rPr>
          <w:rFonts w:eastAsiaTheme="minorEastAsia" w:hint="eastAsia"/>
          <w:lang w:bidi="ar-IQ"/>
        </w:rPr>
        <w:t>,</w:t>
      </w:r>
      <w:r w:rsidR="005D70B8">
        <w:rPr>
          <w:lang w:bidi="ar-IQ"/>
        </w:rPr>
        <w:t xml:space="preserve"> </w:t>
      </w:r>
      <w:r w:rsidR="005D70B8" w:rsidRPr="00A43444">
        <w:rPr>
          <w:i/>
          <w:iCs/>
          <w:lang w:bidi="ar-IQ"/>
        </w:rPr>
        <w:t>Energy Cogeneration Handbook</w:t>
      </w:r>
      <w:r w:rsidR="005D70B8">
        <w:rPr>
          <w:lang w:bidi="ar-IQ"/>
        </w:rPr>
        <w:t>, Industrial Press Inc.</w:t>
      </w:r>
    </w:p>
    <w:p w:rsidR="005D70B8" w:rsidRDefault="005D70B8" w:rsidP="00A43444">
      <w:pPr>
        <w:pStyle w:val="Reference-1"/>
        <w:rPr>
          <w:lang w:bidi="ar-IQ"/>
        </w:rPr>
      </w:pPr>
      <w:r>
        <w:rPr>
          <w:lang w:bidi="ar-IQ"/>
        </w:rPr>
        <w:lastRenderedPageBreak/>
        <w:t>The European Association for the Promotion of Cogeneration</w:t>
      </w:r>
      <w:r w:rsidR="00A43444">
        <w:rPr>
          <w:rFonts w:eastAsiaTheme="minorEastAsia" w:hint="eastAsia"/>
          <w:lang w:bidi="ar-IQ"/>
        </w:rPr>
        <w:t>, available online at:http://</w:t>
      </w:r>
      <w:r w:rsidR="00A43444">
        <w:rPr>
          <w:lang w:bidi="ar-IQ"/>
        </w:rPr>
        <w:t>www.cogen.org</w:t>
      </w:r>
      <w:r w:rsidR="00A43444">
        <w:rPr>
          <w:rFonts w:eastAsiaTheme="minorEastAsia" w:hint="eastAsia"/>
          <w:lang w:bidi="ar-IQ"/>
        </w:rPr>
        <w:t>.</w:t>
      </w:r>
    </w:p>
    <w:p w:rsidR="005D70B8" w:rsidRDefault="005D70B8" w:rsidP="005D70B8">
      <w:pPr>
        <w:pStyle w:val="Reference-1"/>
        <w:rPr>
          <w:lang w:bidi="ar-IQ"/>
        </w:rPr>
      </w:pPr>
      <w:r>
        <w:rPr>
          <w:lang w:bidi="ar-IQ"/>
        </w:rPr>
        <w:t>Decree-Law nº 538/99, December (CHP).</w:t>
      </w:r>
    </w:p>
    <w:p w:rsidR="005D70B8" w:rsidRDefault="005D70B8" w:rsidP="005D70B8">
      <w:pPr>
        <w:pStyle w:val="Reference-1"/>
        <w:rPr>
          <w:lang w:bidi="ar-IQ"/>
        </w:rPr>
      </w:pPr>
      <w:r>
        <w:rPr>
          <w:lang w:bidi="ar-IQ"/>
        </w:rPr>
        <w:t>Decree-Law nº 313/2001, December (CHP).</w:t>
      </w:r>
    </w:p>
    <w:p w:rsidR="005D70B8" w:rsidRDefault="005D70B8" w:rsidP="005D70B8">
      <w:pPr>
        <w:pStyle w:val="Reference-1"/>
        <w:rPr>
          <w:lang w:bidi="ar-IQ"/>
        </w:rPr>
      </w:pPr>
      <w:r>
        <w:rPr>
          <w:lang w:bidi="ar-IQ"/>
        </w:rPr>
        <w:t>Decree-Law n.º 225/2007,</w:t>
      </w:r>
      <w:r w:rsidR="00A43444">
        <w:rPr>
          <w:rFonts w:eastAsiaTheme="minorEastAsia" w:hint="eastAsia"/>
          <w:lang w:bidi="ar-IQ"/>
        </w:rPr>
        <w:t xml:space="preserve"> </w:t>
      </w:r>
      <w:r>
        <w:rPr>
          <w:lang w:bidi="ar-IQ"/>
        </w:rPr>
        <w:t>May (photovoltaics systems).</w:t>
      </w:r>
    </w:p>
    <w:p w:rsidR="005D70B8" w:rsidRDefault="005D70B8" w:rsidP="005D70B8">
      <w:pPr>
        <w:pStyle w:val="Reference-1"/>
        <w:rPr>
          <w:lang w:bidi="ar-IQ"/>
        </w:rPr>
      </w:pPr>
      <w:r>
        <w:rPr>
          <w:lang w:bidi="ar-IQ"/>
        </w:rPr>
        <w:t>Decree-Law nº 79/2006, Abril (RSECE - Regulamento dos Sistemas Energéticos de Climatização em Edifícios. In English: Regulation of Energy Systems for HCVAC of buildings).</w:t>
      </w:r>
    </w:p>
    <w:p w:rsidR="009C3595" w:rsidRPr="008B5E5B" w:rsidRDefault="005D70B8" w:rsidP="005D70B8">
      <w:pPr>
        <w:pStyle w:val="Reference-1"/>
      </w:pPr>
      <w:r>
        <w:rPr>
          <w:lang w:bidi="ar-IQ"/>
        </w:rPr>
        <w:t>Decree-Law nº 80/2006, Abril (RCCTE - Regulamento das Características de Comportamento Térmico dos Edifícios. In English: Regulation Characteristics of the Thermal Performance of Buildings)</w:t>
      </w:r>
    </w:p>
    <w:p w:rsidR="009371D3" w:rsidRDefault="009371D3" w:rsidP="006102BA">
      <w:pPr>
        <w:pStyle w:val="-15"/>
        <w:ind w:leftChars="8" w:left="215" w:right="735" w:hangingChars="95" w:hanging="199"/>
        <w:rPr>
          <w:rFonts w:eastAsia="宋体" w:hint="eastAsia"/>
          <w:sz w:val="21"/>
          <w:lang w:eastAsia="zh-CN"/>
        </w:rPr>
      </w:pPr>
    </w:p>
    <w:p w:rsidR="009371D3" w:rsidRPr="009371D3" w:rsidRDefault="009371D3" w:rsidP="009371D3">
      <w:pPr>
        <w:pStyle w:val="-15"/>
        <w:ind w:leftChars="50" w:left="299" w:right="735" w:hangingChars="95" w:hanging="199"/>
        <w:rPr>
          <w:rFonts w:eastAsia="宋体" w:hint="eastAsia"/>
          <w:sz w:val="21"/>
          <w:lang w:eastAsia="zh-CN"/>
        </w:rPr>
        <w:sectPr w:rsidR="009371D3" w:rsidRPr="009371D3" w:rsidSect="00E3235C">
          <w:type w:val="continuous"/>
          <w:pgSz w:w="11907" w:h="16160"/>
          <w:pgMar w:top="1701" w:right="1134" w:bottom="1418" w:left="1134" w:header="1134" w:footer="1134" w:gutter="0"/>
          <w:cols w:num="2" w:space="425"/>
          <w:titlePg/>
          <w:docGrid w:type="lines" w:linePitch="312"/>
        </w:sectPr>
      </w:pPr>
    </w:p>
    <w:p w:rsidR="007B600C" w:rsidRPr="009371D3" w:rsidRDefault="007B600C" w:rsidP="009371D3">
      <w:pPr>
        <w:jc w:val="both"/>
        <w:rPr>
          <w:rFonts w:hint="eastAsia"/>
          <w:szCs w:val="21"/>
          <w:lang w:eastAsia="zh-CN"/>
        </w:rPr>
      </w:pPr>
    </w:p>
    <w:sectPr w:rsidR="007B600C" w:rsidRPr="009371D3" w:rsidSect="00E3235C">
      <w:headerReference w:type="even" r:id="rId20"/>
      <w:headerReference w:type="default" r:id="rId21"/>
      <w:footerReference w:type="even" r:id="rId22"/>
      <w:footerReference w:type="default" r:id="rId23"/>
      <w:headerReference w:type="first" r:id="rId24"/>
      <w:type w:val="continuous"/>
      <w:pgSz w:w="11907" w:h="16160" w:code="512"/>
      <w:pgMar w:top="1701" w:right="1134" w:bottom="1418" w:left="1134" w:header="1134" w:footer="1134" w:gutter="0"/>
      <w:cols w:space="720"/>
      <w:noEndnote/>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8C" w:rsidRDefault="0094078C">
      <w:r>
        <w:separator/>
      </w:r>
    </w:p>
  </w:endnote>
  <w:endnote w:type="continuationSeparator" w:id="1">
    <w:p w:rsidR="0094078C" w:rsidRDefault="00940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Miriam">
    <w:charset w:val="B1"/>
    <w:family w:val="swiss"/>
    <w:pitch w:val="variable"/>
    <w:sig w:usb0="00000801" w:usb1="00000000" w:usb2="00000000" w:usb3="00000000" w:csb0="00000020" w:csb1="00000000"/>
  </w:font>
  <w:font w:name="Times">
    <w:panose1 w:val="02020603050405020304"/>
    <w:charset w:val="00"/>
    <w:family w:val="roman"/>
    <w:pitch w:val="variable"/>
    <w:sig w:usb0="20002A87" w:usb1="80000000" w:usb2="00000008" w:usb3="00000000" w:csb0="000001FF" w:csb1="00000000"/>
  </w:font>
  <w:font w:name="方正书宋繁体">
    <w:panose1 w:val="02010601030101010101"/>
    <w:charset w:val="86"/>
    <w:family w:val="auto"/>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方正黑体繁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284B72">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284B72" w:rsidRDefault="00284B7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40" w:rsidRDefault="003D684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284B72" w:rsidP="00BA4D3A">
    <w:pPr>
      <w:pStyle w:val="a4"/>
      <w:ind w:right="180"/>
      <w:jc w:val="right"/>
      <w:rPr>
        <w:rFonts w:hint="eastAsia"/>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5B" w:rsidRDefault="008B5E5B" w:rsidP="004F016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B5E5B" w:rsidRDefault="008B5E5B">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5B" w:rsidRDefault="008B5E5B" w:rsidP="00556A2A">
    <w:pPr>
      <w:pStyle w:val="a4"/>
      <w:ind w:right="360" w:firstLine="360"/>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26" w:rsidRDefault="00031226" w:rsidP="004F016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31226" w:rsidRDefault="00031226">
    <w:pPr>
      <w:pStyle w:val="a4"/>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26" w:rsidRDefault="00031226" w:rsidP="00556A2A">
    <w:pPr>
      <w:pStyle w:val="a4"/>
      <w:ind w:right="360" w:firstLine="360"/>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8C" w:rsidRDefault="0094078C" w:rsidP="00186499">
      <w:pPr>
        <w:jc w:val="both"/>
      </w:pPr>
      <w:r>
        <w:separator/>
      </w:r>
    </w:p>
  </w:footnote>
  <w:footnote w:type="continuationSeparator" w:id="1">
    <w:p w:rsidR="0094078C" w:rsidRDefault="0094078C">
      <w:r>
        <w:continuationSeparator/>
      </w:r>
    </w:p>
  </w:footnote>
  <w:footnote w:id="2">
    <w:p w:rsidR="00F16FF3" w:rsidRPr="007A7511" w:rsidRDefault="00164076" w:rsidP="00FF0034">
      <w:pPr>
        <w:autoSpaceDE w:val="0"/>
        <w:autoSpaceDN w:val="0"/>
        <w:adjustRightInd w:val="0"/>
        <w:snapToGrid w:val="0"/>
        <w:ind w:firstLineChars="98" w:firstLine="177"/>
        <w:jc w:val="both"/>
        <w:rPr>
          <w:rFonts w:hint="eastAsia"/>
          <w:sz w:val="18"/>
          <w:szCs w:val="18"/>
          <w:lang w:eastAsia="zh-CN"/>
        </w:rPr>
      </w:pPr>
      <w:r w:rsidRPr="00E80725">
        <w:rPr>
          <w:rFonts w:hint="eastAsia"/>
          <w:b/>
          <w:sz w:val="18"/>
          <w:szCs w:val="18"/>
          <w:lang w:eastAsia="zh-CN"/>
        </w:rPr>
        <w:t>Corresponding author:</w:t>
      </w:r>
      <w:r w:rsidRPr="00E80725">
        <w:rPr>
          <w:rFonts w:eastAsia="MS Mincho" w:hint="eastAsia"/>
          <w:sz w:val="18"/>
          <w:szCs w:val="18"/>
          <w:lang w:eastAsia="ja-JP"/>
        </w:rPr>
        <w:t xml:space="preserve"> </w:t>
      </w:r>
      <w:r w:rsidR="00FF0034" w:rsidRPr="00FF0034">
        <w:rPr>
          <w:sz w:val="18"/>
          <w:szCs w:val="18"/>
        </w:rPr>
        <w:t>Clito Afonso</w:t>
      </w:r>
      <w:r w:rsidR="00FF0034">
        <w:rPr>
          <w:sz w:val="18"/>
          <w:szCs w:val="18"/>
        </w:rPr>
        <w:t xml:space="preserve">, </w:t>
      </w:r>
      <w:r w:rsidR="00266C66" w:rsidRPr="00266C66">
        <w:rPr>
          <w:sz w:val="18"/>
          <w:szCs w:val="18"/>
        </w:rPr>
        <w:t>Ph</w:t>
      </w:r>
      <w:r w:rsidR="00FF0034">
        <w:rPr>
          <w:rFonts w:hint="eastAsia"/>
          <w:sz w:val="18"/>
          <w:szCs w:val="18"/>
          <w:lang w:eastAsia="zh-CN"/>
        </w:rPr>
        <w:t>.</w:t>
      </w:r>
      <w:r w:rsidR="00266C66" w:rsidRPr="00266C66">
        <w:rPr>
          <w:sz w:val="18"/>
          <w:szCs w:val="18"/>
        </w:rPr>
        <w:t>D.,</w:t>
      </w:r>
      <w:r w:rsidR="00FF0034">
        <w:rPr>
          <w:rFonts w:hint="eastAsia"/>
          <w:sz w:val="18"/>
          <w:szCs w:val="18"/>
          <w:lang w:eastAsia="zh-CN"/>
        </w:rPr>
        <w:t xml:space="preserve"> Professor,</w:t>
      </w:r>
      <w:r w:rsidR="00266C66" w:rsidRPr="00266C66">
        <w:rPr>
          <w:sz w:val="18"/>
          <w:szCs w:val="18"/>
        </w:rPr>
        <w:t xml:space="preserve"> </w:t>
      </w:r>
      <w:r w:rsidR="00266C66">
        <w:rPr>
          <w:rFonts w:hint="eastAsia"/>
          <w:sz w:val="18"/>
          <w:szCs w:val="18"/>
          <w:lang w:eastAsia="zh-CN"/>
        </w:rPr>
        <w:t xml:space="preserve">research areas/interests: </w:t>
      </w:r>
      <w:r w:rsidR="00FF0034" w:rsidRPr="00FF0034">
        <w:rPr>
          <w:sz w:val="18"/>
          <w:szCs w:val="18"/>
          <w:lang w:eastAsia="zh-CN"/>
        </w:rPr>
        <w:t>applied thermodynamics; environment</w:t>
      </w:r>
      <w:r w:rsidR="00266C66" w:rsidRPr="00266C66">
        <w:rPr>
          <w:sz w:val="18"/>
          <w:szCs w:val="18"/>
        </w:rPr>
        <w:t xml:space="preserve">. E-mail: </w:t>
      </w:r>
      <w:r w:rsidR="00FF0034" w:rsidRPr="00FF0034">
        <w:rPr>
          <w:sz w:val="18"/>
          <w:szCs w:val="18"/>
        </w:rPr>
        <w:t>clito@fe.up.pt</w:t>
      </w:r>
      <w:r w:rsidR="00266C66" w:rsidRPr="00266C66">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284B72" w:rsidP="003415C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84B72" w:rsidRDefault="00284B72" w:rsidP="003415CE">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284B72" w:rsidP="003415CE">
    <w:pPr>
      <w:pStyle w:val="a3"/>
      <w:framePr w:wrap="around" w:vAnchor="text" w:hAnchor="margin" w:xAlign="outside" w:y="1"/>
      <w:pBdr>
        <w:bottom w:val="none" w:sz="0" w:space="0" w:color="auto"/>
      </w:pBdr>
      <w:rPr>
        <w:rStyle w:val="a5"/>
      </w:rPr>
    </w:pPr>
    <w:r>
      <w:rPr>
        <w:rStyle w:val="a5"/>
      </w:rPr>
      <w:fldChar w:fldCharType="begin"/>
    </w:r>
    <w:r>
      <w:rPr>
        <w:rStyle w:val="a5"/>
      </w:rPr>
      <w:instrText xml:space="preserve">PAGE  </w:instrText>
    </w:r>
    <w:r>
      <w:rPr>
        <w:rStyle w:val="a5"/>
      </w:rPr>
      <w:fldChar w:fldCharType="separate"/>
    </w:r>
    <w:r w:rsidR="00601738">
      <w:rPr>
        <w:rStyle w:val="a5"/>
        <w:noProof/>
      </w:rPr>
      <w:t>566</w:t>
    </w:r>
    <w:r>
      <w:rPr>
        <w:rStyle w:val="a5"/>
      </w:rPr>
      <w:fldChar w:fldCharType="end"/>
    </w:r>
  </w:p>
  <w:p w:rsidR="00284B72" w:rsidRPr="00270F0A" w:rsidRDefault="005F2AF4" w:rsidP="00D15351">
    <w:pPr>
      <w:pStyle w:val="-17"/>
      <w:pBdr>
        <w:bottom w:val="none" w:sz="0" w:space="0" w:color="auto"/>
      </w:pBdr>
      <w:ind w:right="360" w:firstLine="360"/>
      <w:rPr>
        <w:rFonts w:ascii="Arial" w:hAnsi="Arial" w:cs="Arial"/>
      </w:rPr>
    </w:pPr>
    <w:r w:rsidRPr="005F2AF4">
      <w:rPr>
        <w:rFonts w:ascii="Arial" w:hAnsi="Arial" w:cs="Arial"/>
      </w:rPr>
      <w:t>Using Solid Wastes of Tikrit City to Produce Electric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0A" w:rsidRPr="00A123CA" w:rsidRDefault="008B5E5B" w:rsidP="00B166DE">
    <w:pPr>
      <w:pStyle w:val="a3"/>
      <w:jc w:val="both"/>
      <w:rPr>
        <w:rFonts w:eastAsia="方正黑体繁体"/>
        <w:b/>
        <w:bCs/>
        <w:lang w:eastAsia="zh-CN"/>
      </w:rPr>
    </w:pPr>
    <w:r w:rsidRPr="00A123CA">
      <w:rPr>
        <w:rFonts w:eastAsia="方正黑体繁体"/>
        <w:b/>
        <w:bCs/>
        <w:lang w:eastAsia="zh-CN"/>
      </w:rPr>
      <w:t>Modern Environmental Science and Engineering (ISSN 2333-2581)</w:t>
    </w:r>
  </w:p>
  <w:p w:rsidR="0005360A" w:rsidRPr="00A123CA" w:rsidRDefault="00DC2ABB" w:rsidP="00DC2ABB">
    <w:pPr>
      <w:pStyle w:val="a3"/>
      <w:jc w:val="both"/>
      <w:rPr>
        <w:rFonts w:eastAsia="方正黑体繁体" w:hint="eastAsia"/>
        <w:b/>
        <w:bCs/>
        <w:lang w:eastAsia="zh-CN"/>
      </w:rPr>
    </w:pPr>
    <w:r>
      <w:rPr>
        <w:rFonts w:eastAsia="方正黑体繁体" w:hint="eastAsia"/>
        <w:b/>
        <w:bCs/>
        <w:lang w:eastAsia="zh-CN"/>
      </w:rPr>
      <w:t>January</w:t>
    </w:r>
    <w:r w:rsidR="0005360A" w:rsidRPr="00A123CA">
      <w:rPr>
        <w:rFonts w:eastAsia="方正黑体繁体"/>
        <w:b/>
        <w:bCs/>
        <w:lang w:eastAsia="zh-CN"/>
      </w:rPr>
      <w:t xml:space="preserve"> 201</w:t>
    </w:r>
    <w:r>
      <w:rPr>
        <w:rFonts w:eastAsia="方正黑体繁体" w:hint="eastAsia"/>
        <w:b/>
        <w:bCs/>
        <w:lang w:eastAsia="zh-CN"/>
      </w:rPr>
      <w:t>6</w:t>
    </w:r>
    <w:r w:rsidR="0005360A" w:rsidRPr="00A123CA">
      <w:rPr>
        <w:rFonts w:eastAsia="方正黑体繁体"/>
        <w:b/>
        <w:bCs/>
        <w:lang w:eastAsia="zh-CN"/>
      </w:rPr>
      <w:t xml:space="preserve">, Volume </w:t>
    </w:r>
    <w:r>
      <w:rPr>
        <w:rFonts w:eastAsia="方正黑体繁体" w:hint="eastAsia"/>
        <w:b/>
        <w:bCs/>
        <w:lang w:eastAsia="zh-CN"/>
      </w:rPr>
      <w:t>2</w:t>
    </w:r>
    <w:r w:rsidR="0005360A" w:rsidRPr="00A123CA">
      <w:rPr>
        <w:rFonts w:eastAsia="方正黑体繁体"/>
        <w:b/>
        <w:bCs/>
        <w:lang w:eastAsia="zh-CN"/>
      </w:rPr>
      <w:t xml:space="preserve">, No. </w:t>
    </w:r>
    <w:r>
      <w:rPr>
        <w:rFonts w:eastAsia="方正黑体繁体" w:hint="eastAsia"/>
        <w:b/>
        <w:bCs/>
        <w:lang w:eastAsia="zh-CN"/>
      </w:rPr>
      <w:t>1</w:t>
    </w:r>
    <w:r w:rsidR="0005360A" w:rsidRPr="00A123CA">
      <w:rPr>
        <w:rFonts w:eastAsia="方正黑体繁体"/>
        <w:b/>
        <w:bCs/>
        <w:lang w:eastAsia="zh-CN"/>
      </w:rPr>
      <w:t xml:space="preserve">, pp. </w:t>
    </w:r>
  </w:p>
  <w:p w:rsidR="00B166DE" w:rsidRPr="00A123CA" w:rsidRDefault="00B166DE" w:rsidP="00DC2ABB">
    <w:pPr>
      <w:pStyle w:val="a3"/>
      <w:jc w:val="both"/>
      <w:rPr>
        <w:rFonts w:eastAsia="方正黑体繁体"/>
        <w:b/>
        <w:bCs/>
        <w:lang w:eastAsia="zh-CN"/>
      </w:rPr>
    </w:pPr>
    <w:r w:rsidRPr="00A123CA">
      <w:rPr>
        <w:rFonts w:eastAsia="方正黑体繁体" w:hint="eastAsia"/>
        <w:b/>
        <w:bCs/>
        <w:lang w:eastAsia="zh-CN"/>
      </w:rPr>
      <w:t>Doi:</w:t>
    </w:r>
    <w:r w:rsidR="00911FF0">
      <w:rPr>
        <w:rFonts w:eastAsia="方正黑体繁体" w:hint="eastAsia"/>
        <w:b/>
        <w:bCs/>
        <w:lang w:eastAsia="zh-CN"/>
      </w:rPr>
      <w:t xml:space="preserve"> </w:t>
    </w:r>
    <w:r w:rsidR="00911FF0" w:rsidRPr="0093177F">
      <w:rPr>
        <w:b/>
        <w:bCs/>
      </w:rPr>
      <w:t>10.15341/</w:t>
    </w:r>
    <w:r w:rsidR="00911FF0" w:rsidRPr="0093177F">
      <w:rPr>
        <w:rFonts w:hint="eastAsia"/>
        <w:b/>
        <w:bCs/>
        <w:lang w:eastAsia="zh-CN"/>
      </w:rPr>
      <w:t>mese</w:t>
    </w:r>
    <w:r w:rsidR="00911FF0" w:rsidRPr="0093177F">
      <w:rPr>
        <w:b/>
        <w:bCs/>
      </w:rPr>
      <w:t>(2</w:t>
    </w:r>
    <w:r w:rsidR="00911FF0" w:rsidRPr="0093177F">
      <w:rPr>
        <w:rFonts w:hint="eastAsia"/>
        <w:b/>
        <w:bCs/>
        <w:lang w:eastAsia="zh-CN"/>
      </w:rPr>
      <w:t>333</w:t>
    </w:r>
    <w:r w:rsidR="00911FF0" w:rsidRPr="0093177F">
      <w:rPr>
        <w:b/>
        <w:bCs/>
      </w:rPr>
      <w:t>-</w:t>
    </w:r>
    <w:r w:rsidR="00911FF0" w:rsidRPr="0093177F">
      <w:rPr>
        <w:rFonts w:hint="eastAsia"/>
        <w:b/>
        <w:bCs/>
        <w:lang w:eastAsia="zh-CN"/>
      </w:rPr>
      <w:t>2581</w:t>
    </w:r>
    <w:r w:rsidR="00911FF0" w:rsidRPr="0093177F">
      <w:rPr>
        <w:b/>
        <w:bCs/>
      </w:rPr>
      <w:t>)/</w:t>
    </w:r>
    <w:r w:rsidR="00911FF0" w:rsidRPr="0093177F">
      <w:rPr>
        <w:rFonts w:hint="eastAsia"/>
        <w:b/>
        <w:bCs/>
      </w:rPr>
      <w:t>0</w:t>
    </w:r>
    <w:r w:rsidR="00DC2ABB">
      <w:rPr>
        <w:rFonts w:hint="eastAsia"/>
        <w:b/>
        <w:bCs/>
        <w:lang w:eastAsia="zh-CN"/>
      </w:rPr>
      <w:t>1</w:t>
    </w:r>
    <w:r w:rsidR="00911FF0" w:rsidRPr="0093177F">
      <w:rPr>
        <w:b/>
        <w:bCs/>
      </w:rPr>
      <w:t>.</w:t>
    </w:r>
    <w:r w:rsidR="00911FF0" w:rsidRPr="0093177F">
      <w:rPr>
        <w:rFonts w:hint="eastAsia"/>
        <w:b/>
        <w:bCs/>
        <w:lang w:eastAsia="zh-CN"/>
      </w:rPr>
      <w:t>0</w:t>
    </w:r>
    <w:r w:rsidR="00DC2ABB">
      <w:rPr>
        <w:rFonts w:hint="eastAsia"/>
        <w:b/>
        <w:bCs/>
        <w:lang w:eastAsia="zh-CN"/>
      </w:rPr>
      <w:t>2</w:t>
    </w:r>
    <w:r w:rsidR="00911FF0" w:rsidRPr="0093177F">
      <w:rPr>
        <w:b/>
        <w:bCs/>
      </w:rPr>
      <w:t>.201</w:t>
    </w:r>
    <w:r w:rsidR="00DC2ABB">
      <w:rPr>
        <w:rFonts w:hint="eastAsia"/>
        <w:b/>
        <w:bCs/>
        <w:lang w:eastAsia="zh-CN"/>
      </w:rPr>
      <w:t>6</w:t>
    </w:r>
    <w:r w:rsidR="00911FF0">
      <w:rPr>
        <w:rFonts w:hint="eastAsia"/>
        <w:b/>
        <w:bCs/>
        <w:lang w:eastAsia="zh-CN"/>
      </w:rPr>
      <w:t>/</w:t>
    </w:r>
  </w:p>
  <w:p w:rsidR="0005360A" w:rsidRPr="00A123CA" w:rsidRDefault="0005360A" w:rsidP="00DC2ABB">
    <w:pPr>
      <w:pStyle w:val="a3"/>
      <w:jc w:val="both"/>
      <w:rPr>
        <w:rFonts w:eastAsia="方正黑体繁体" w:hint="eastAsia"/>
        <w:b/>
        <w:bCs/>
        <w:lang w:eastAsia="zh-CN"/>
      </w:rPr>
    </w:pPr>
    <w:r w:rsidRPr="00A123CA">
      <w:rPr>
        <w:rFonts w:eastAsia="方正黑体繁体"/>
        <w:b/>
        <w:bCs/>
        <w:lang w:eastAsia="zh-CN"/>
      </w:rPr>
      <w:t>Academic Star Publishing Company, 201</w:t>
    </w:r>
    <w:r w:rsidR="00DC2ABB">
      <w:rPr>
        <w:rFonts w:eastAsia="方正黑体繁体" w:hint="eastAsia"/>
        <w:b/>
        <w:bCs/>
        <w:lang w:eastAsia="zh-CN"/>
      </w:rPr>
      <w:t>6</w:t>
    </w:r>
  </w:p>
  <w:p w:rsidR="0005360A" w:rsidRPr="0005360A" w:rsidRDefault="0005360A" w:rsidP="00B166DE">
    <w:pPr>
      <w:pStyle w:val="a3"/>
      <w:jc w:val="both"/>
      <w:rPr>
        <w:rFonts w:eastAsia="方正黑体繁体"/>
        <w:lang w:eastAsia="zh-CN"/>
      </w:rPr>
    </w:pPr>
    <w:r w:rsidRPr="00A123CA">
      <w:rPr>
        <w:rFonts w:eastAsia="方正黑体繁体" w:hint="eastAsia"/>
        <w:b/>
        <w:bCs/>
        <w:lang w:eastAsia="zh-CN"/>
      </w:rPr>
      <w:t>www.academicstar.us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5B" w:rsidRDefault="008B5E5B" w:rsidP="003415C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B5E5B" w:rsidRDefault="008B5E5B" w:rsidP="00284B72">
    <w:pPr>
      <w:pStyle w:val="a3"/>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5B" w:rsidRDefault="008B5E5B" w:rsidP="00284B72">
    <w:pPr>
      <w:pStyle w:val="a3"/>
      <w:framePr w:wrap="around" w:vAnchor="text" w:hAnchor="margin" w:xAlign="outside" w:y="1"/>
      <w:pBdr>
        <w:bottom w:val="none" w:sz="0" w:space="0" w:color="auto"/>
      </w:pBdr>
      <w:rPr>
        <w:rStyle w:val="a5"/>
      </w:rPr>
    </w:pPr>
    <w:r>
      <w:rPr>
        <w:rStyle w:val="a5"/>
      </w:rPr>
      <w:fldChar w:fldCharType="begin"/>
    </w:r>
    <w:r>
      <w:rPr>
        <w:rStyle w:val="a5"/>
      </w:rPr>
      <w:instrText xml:space="preserve">PAGE  </w:instrText>
    </w:r>
    <w:r>
      <w:rPr>
        <w:rStyle w:val="a5"/>
      </w:rPr>
      <w:fldChar w:fldCharType="separate"/>
    </w:r>
    <w:r w:rsidR="00A43444">
      <w:rPr>
        <w:rStyle w:val="a5"/>
        <w:noProof/>
      </w:rPr>
      <w:t>572</w:t>
    </w:r>
    <w:r>
      <w:rPr>
        <w:rStyle w:val="a5"/>
      </w:rPr>
      <w:fldChar w:fldCharType="end"/>
    </w:r>
  </w:p>
  <w:p w:rsidR="008B5E5B" w:rsidRPr="00284B72" w:rsidRDefault="00F15A41" w:rsidP="00284B72">
    <w:pPr>
      <w:pStyle w:val="-17"/>
      <w:pBdr>
        <w:bottom w:val="none" w:sz="0" w:space="0" w:color="auto"/>
      </w:pBdr>
      <w:ind w:right="360" w:firstLine="360"/>
      <w:rPr>
        <w:rFonts w:ascii="Arial" w:hAnsi="Arial" w:cs="Arial"/>
      </w:rPr>
    </w:pPr>
    <w:r w:rsidRPr="00F15A41">
      <w:rPr>
        <w:rFonts w:ascii="Arial" w:hAnsi="Arial" w:cs="Arial"/>
      </w:rPr>
      <w:t>Heat and Mass Transfer between Humid Air and Desiccant Channels — A Theoretical Investigation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5B" w:rsidRPr="00284B72" w:rsidRDefault="008B5E5B" w:rsidP="00284B72">
    <w:pPr>
      <w:pStyle w:val="a3"/>
      <w:pBdr>
        <w:bottom w:val="none" w:sz="0" w:space="0" w:color="auto"/>
      </w:pBdr>
      <w:spacing w:line="288" w:lineRule="auto"/>
      <w:jc w:val="both"/>
      <w:rPr>
        <w:rFonts w:eastAsia="方正黑体繁体"/>
        <w:bCs/>
        <w:lang w:eastAsia="zh-CN"/>
      </w:rPr>
    </w:pPr>
    <w:r w:rsidRPr="00284B72">
      <w:rPr>
        <w:rFonts w:eastAsia="方正黑体繁体" w:hint="eastAsia"/>
        <w:bCs/>
        <w:lang w:eastAsia="zh-CN"/>
      </w:rPr>
      <w:t>Feb</w:t>
    </w:r>
    <w:r w:rsidRPr="00284B72">
      <w:rPr>
        <w:rFonts w:eastAsia="方正黑体繁体"/>
        <w:bCs/>
      </w:rPr>
      <w:t>.</w:t>
    </w:r>
    <w:r w:rsidRPr="00284B72">
      <w:rPr>
        <w:rFonts w:eastAsia="方正黑体繁体" w:hint="eastAsia"/>
        <w:bCs/>
        <w:lang w:eastAsia="zh-CN"/>
      </w:rPr>
      <w:t xml:space="preserve"> </w:t>
    </w:r>
    <w:r w:rsidRPr="00284B72">
      <w:rPr>
        <w:rFonts w:eastAsia="方正黑体繁体"/>
        <w:bCs/>
      </w:rPr>
      <w:t>20</w:t>
    </w:r>
    <w:r w:rsidRPr="00284B72">
      <w:rPr>
        <w:rFonts w:eastAsia="方正黑体繁体" w:hint="eastAsia"/>
        <w:bCs/>
        <w:lang w:eastAsia="zh-CN"/>
      </w:rPr>
      <w:t>10</w:t>
    </w:r>
    <w:r w:rsidRPr="00284B72">
      <w:rPr>
        <w:rFonts w:eastAsia="方正黑体繁体"/>
        <w:bCs/>
      </w:rPr>
      <w:t xml:space="preserve">, Volume </w:t>
    </w:r>
    <w:r w:rsidRPr="00284B72">
      <w:rPr>
        <w:rFonts w:eastAsia="方正黑体繁体" w:hint="eastAsia"/>
        <w:bCs/>
        <w:lang w:eastAsia="zh-CN"/>
      </w:rPr>
      <w:t>4</w:t>
    </w:r>
    <w:r w:rsidRPr="00284B72">
      <w:rPr>
        <w:rFonts w:eastAsia="方正黑体繁体"/>
        <w:bCs/>
      </w:rPr>
      <w:t>, No.</w:t>
    </w:r>
    <w:r w:rsidRPr="00284B72">
      <w:rPr>
        <w:rFonts w:eastAsia="方正黑体繁体" w:hint="eastAsia"/>
        <w:bCs/>
        <w:lang w:eastAsia="zh-CN"/>
      </w:rPr>
      <w:t>1</w:t>
    </w:r>
    <w:r w:rsidRPr="00284B72">
      <w:rPr>
        <w:rFonts w:eastAsia="方正黑体繁体"/>
        <w:bCs/>
      </w:rPr>
      <w:t xml:space="preserve"> (</w:t>
    </w:r>
    <w:r w:rsidRPr="00284B72">
      <w:rPr>
        <w:rFonts w:eastAsia="方正黑体繁体" w:hint="eastAsia"/>
        <w:bCs/>
        <w:lang w:eastAsia="zh-CN"/>
      </w:rPr>
      <w:t>Serial No.26</w:t>
    </w:r>
    <w:r w:rsidRPr="00284B72">
      <w:rPr>
        <w:rFonts w:eastAsia="方正黑体繁体"/>
        <w:bCs/>
      </w:rPr>
      <w:t xml:space="preserve">) </w:t>
    </w:r>
  </w:p>
  <w:p w:rsidR="008B5E5B" w:rsidRPr="00284B72" w:rsidRDefault="008B5E5B" w:rsidP="00284B72">
    <w:pPr>
      <w:pStyle w:val="a3"/>
      <w:pBdr>
        <w:bottom w:val="none" w:sz="0" w:space="0" w:color="auto"/>
      </w:pBdr>
      <w:spacing w:line="288" w:lineRule="auto"/>
      <w:jc w:val="both"/>
      <w:rPr>
        <w:sz w:val="6"/>
      </w:rPr>
    </w:pPr>
    <w:r w:rsidRPr="00284B72">
      <w:rPr>
        <w:rFonts w:eastAsia="方正黑体繁体"/>
        <w:bCs/>
      </w:rPr>
      <w:t>Journal of Agricultural Science and Technology, ISSN</w:t>
    </w:r>
    <w:r w:rsidRPr="00284B72">
      <w:rPr>
        <w:rFonts w:eastAsia="方正黑体繁体" w:hint="eastAsia"/>
        <w:bCs/>
        <w:lang w:eastAsia="zh-CN"/>
      </w:rPr>
      <w:t xml:space="preserve"> </w:t>
    </w:r>
    <w:r w:rsidRPr="00284B72">
      <w:rPr>
        <w:rFonts w:eastAsia="方正黑体繁体"/>
        <w:bCs/>
      </w:rPr>
      <w:t xml:space="preserve">1939-125, </w:t>
    </w:r>
    <w:smartTag w:uri="urn:schemas-microsoft-com:office:smarttags" w:element="place">
      <w:smartTag w:uri="urn:schemas-microsoft-com:office:smarttags" w:element="country-region">
        <w:r w:rsidRPr="00284B72">
          <w:rPr>
            <w:rFonts w:eastAsia="方正黑体繁体"/>
            <w:bCs/>
          </w:rPr>
          <w:t>USA</w:t>
        </w:r>
      </w:smartTag>
    </w:smartTag>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284B72" w:rsidP="003415CE">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84B72" w:rsidRDefault="00284B72" w:rsidP="00284B72">
    <w:pPr>
      <w:pStyle w:val="a3"/>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72" w:rsidRDefault="00284B72" w:rsidP="00284B72">
    <w:pPr>
      <w:pStyle w:val="a3"/>
      <w:framePr w:wrap="around" w:vAnchor="text" w:hAnchor="margin" w:xAlign="outside" w:y="1"/>
      <w:pBdr>
        <w:bottom w:val="none" w:sz="0" w:space="0" w:color="auto"/>
      </w:pBdr>
      <w:rPr>
        <w:rStyle w:val="a5"/>
      </w:rPr>
    </w:pPr>
    <w:r>
      <w:rPr>
        <w:rStyle w:val="a5"/>
      </w:rPr>
      <w:fldChar w:fldCharType="begin"/>
    </w:r>
    <w:r>
      <w:rPr>
        <w:rStyle w:val="a5"/>
      </w:rPr>
      <w:instrText xml:space="preserve">PAGE  </w:instrText>
    </w:r>
    <w:r>
      <w:rPr>
        <w:rStyle w:val="a5"/>
      </w:rPr>
      <w:fldChar w:fldCharType="separate"/>
    </w:r>
    <w:r w:rsidR="009371D3">
      <w:rPr>
        <w:rStyle w:val="a5"/>
        <w:noProof/>
      </w:rPr>
      <w:t>568</w:t>
    </w:r>
    <w:r>
      <w:rPr>
        <w:rStyle w:val="a5"/>
      </w:rPr>
      <w:fldChar w:fldCharType="end"/>
    </w:r>
  </w:p>
  <w:p w:rsidR="00031226" w:rsidRPr="00284B72" w:rsidRDefault="00031226" w:rsidP="00284B72">
    <w:pPr>
      <w:pStyle w:val="-17"/>
      <w:pBdr>
        <w:bottom w:val="none" w:sz="0" w:space="0" w:color="auto"/>
      </w:pBdr>
      <w:ind w:right="360" w:firstLine="360"/>
      <w:rPr>
        <w:rFonts w:ascii="Arial" w:hAnsi="Arial" w:cs="Arial"/>
      </w:rPr>
    </w:pPr>
    <w:r w:rsidRPr="00284B72">
      <w:rPr>
        <w:rFonts w:ascii="Arial" w:hAnsi="Arial" w:cs="Arial"/>
      </w:rPr>
      <w:t xml:space="preserve">Research on </w:t>
    </w:r>
    <w:r w:rsidR="00A80603" w:rsidRPr="00284B72">
      <w:rPr>
        <w:rFonts w:ascii="Arial" w:hAnsi="Arial" w:cs="Arial"/>
        <w:lang w:eastAsia="zh-CN"/>
      </w:rPr>
      <w:t>An</w:t>
    </w:r>
    <w:r w:rsidRPr="00284B72">
      <w:rPr>
        <w:rFonts w:ascii="Arial" w:hAnsi="Arial" w:cs="Arial"/>
      </w:rPr>
      <w:t xml:space="preserve"> International Marketing Strategy for Japanese Rice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41" w:rsidRPr="00284B72" w:rsidRDefault="00031226" w:rsidP="00284B72">
    <w:pPr>
      <w:pStyle w:val="a3"/>
      <w:pBdr>
        <w:bottom w:val="none" w:sz="0" w:space="0" w:color="auto"/>
      </w:pBdr>
      <w:spacing w:line="288" w:lineRule="auto"/>
      <w:jc w:val="both"/>
      <w:rPr>
        <w:rFonts w:eastAsia="方正黑体繁体" w:hint="eastAsia"/>
        <w:bCs/>
        <w:lang w:eastAsia="zh-CN"/>
      </w:rPr>
    </w:pPr>
    <w:r w:rsidRPr="00284B72">
      <w:rPr>
        <w:rFonts w:eastAsia="方正黑体繁体" w:hint="eastAsia"/>
        <w:bCs/>
        <w:lang w:eastAsia="zh-CN"/>
      </w:rPr>
      <w:t>Feb</w:t>
    </w:r>
    <w:r w:rsidRPr="00284B72">
      <w:rPr>
        <w:rFonts w:eastAsia="方正黑体繁体"/>
        <w:bCs/>
      </w:rPr>
      <w:t>.</w:t>
    </w:r>
    <w:r w:rsidRPr="00284B72">
      <w:rPr>
        <w:rFonts w:eastAsia="方正黑体繁体" w:hint="eastAsia"/>
        <w:bCs/>
        <w:lang w:eastAsia="zh-CN"/>
      </w:rPr>
      <w:t xml:space="preserve"> </w:t>
    </w:r>
    <w:r w:rsidRPr="00284B72">
      <w:rPr>
        <w:rFonts w:eastAsia="方正黑体繁体"/>
        <w:bCs/>
      </w:rPr>
      <w:t>20</w:t>
    </w:r>
    <w:r w:rsidRPr="00284B72">
      <w:rPr>
        <w:rFonts w:eastAsia="方正黑体繁体" w:hint="eastAsia"/>
        <w:bCs/>
        <w:lang w:eastAsia="zh-CN"/>
      </w:rPr>
      <w:t>10</w:t>
    </w:r>
    <w:r w:rsidRPr="00284B72">
      <w:rPr>
        <w:rFonts w:eastAsia="方正黑体繁体"/>
        <w:bCs/>
      </w:rPr>
      <w:t xml:space="preserve">, Volume </w:t>
    </w:r>
    <w:r w:rsidRPr="00284B72">
      <w:rPr>
        <w:rFonts w:eastAsia="方正黑体繁体" w:hint="eastAsia"/>
        <w:bCs/>
        <w:lang w:eastAsia="zh-CN"/>
      </w:rPr>
      <w:t>4</w:t>
    </w:r>
    <w:r w:rsidRPr="00284B72">
      <w:rPr>
        <w:rFonts w:eastAsia="方正黑体繁体"/>
        <w:bCs/>
      </w:rPr>
      <w:t>, No.</w:t>
    </w:r>
    <w:r w:rsidR="007D7F62" w:rsidRPr="00284B72">
      <w:rPr>
        <w:rFonts w:eastAsia="方正黑体繁体" w:hint="eastAsia"/>
        <w:bCs/>
        <w:lang w:eastAsia="zh-CN"/>
      </w:rPr>
      <w:t>1</w:t>
    </w:r>
    <w:r w:rsidRPr="00284B72">
      <w:rPr>
        <w:rFonts w:eastAsia="方正黑体繁体"/>
        <w:bCs/>
      </w:rPr>
      <w:t xml:space="preserve"> (</w:t>
    </w:r>
    <w:r w:rsidRPr="00284B72">
      <w:rPr>
        <w:rFonts w:eastAsia="方正黑体繁体" w:hint="eastAsia"/>
        <w:bCs/>
        <w:lang w:eastAsia="zh-CN"/>
      </w:rPr>
      <w:t>Serial No.2</w:t>
    </w:r>
    <w:r w:rsidR="0003060B" w:rsidRPr="00284B72">
      <w:rPr>
        <w:rFonts w:eastAsia="方正黑体繁体" w:hint="eastAsia"/>
        <w:bCs/>
        <w:lang w:eastAsia="zh-CN"/>
      </w:rPr>
      <w:t>6</w:t>
    </w:r>
    <w:r w:rsidRPr="00284B72">
      <w:rPr>
        <w:rFonts w:eastAsia="方正黑体繁体"/>
        <w:bCs/>
      </w:rPr>
      <w:t xml:space="preserve">) </w:t>
    </w:r>
  </w:p>
  <w:p w:rsidR="00031226" w:rsidRPr="00284B72" w:rsidRDefault="00031226" w:rsidP="00284B72">
    <w:pPr>
      <w:pStyle w:val="a3"/>
      <w:pBdr>
        <w:bottom w:val="none" w:sz="0" w:space="0" w:color="auto"/>
      </w:pBdr>
      <w:spacing w:line="288" w:lineRule="auto"/>
      <w:jc w:val="both"/>
      <w:rPr>
        <w:rFonts w:hint="eastAsia"/>
        <w:sz w:val="6"/>
      </w:rPr>
    </w:pPr>
    <w:r w:rsidRPr="00284B72">
      <w:rPr>
        <w:rFonts w:eastAsia="方正黑体繁体"/>
        <w:bCs/>
      </w:rPr>
      <w:t>Journal of Agricultural Science and Technology, ISSN</w:t>
    </w:r>
    <w:r w:rsidRPr="00284B72">
      <w:rPr>
        <w:rFonts w:eastAsia="方正黑体繁体" w:hint="eastAsia"/>
        <w:bCs/>
        <w:lang w:eastAsia="zh-CN"/>
      </w:rPr>
      <w:t xml:space="preserve"> </w:t>
    </w:r>
    <w:r w:rsidRPr="00284B72">
      <w:rPr>
        <w:rFonts w:eastAsia="方正黑体繁体"/>
        <w:bCs/>
      </w:rPr>
      <w:t xml:space="preserve">1939-125, </w:t>
    </w:r>
    <w:smartTag w:uri="urn:schemas-microsoft-com:office:smarttags" w:element="place">
      <w:smartTag w:uri="urn:schemas-microsoft-com:office:smarttags" w:element="country-region">
        <w:r w:rsidRPr="00284B72">
          <w:rPr>
            <w:rFonts w:eastAsia="方正黑体繁体"/>
            <w:bCs/>
          </w:rPr>
          <w:t>USA</w:t>
        </w:r>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99282BD2"/>
    <w:lvl w:ilvl="0">
      <w:start w:val="1"/>
      <w:numFmt w:val="decimal"/>
      <w:pStyle w:val="Reference-1"/>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37B117D"/>
    <w:multiLevelType w:val="hybridMultilevel"/>
    <w:tmpl w:val="451818DC"/>
    <w:lvl w:ilvl="0" w:tplc="9D484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47CF9"/>
    <w:multiLevelType w:val="multilevel"/>
    <w:tmpl w:val="21DE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E6B4CFA"/>
    <w:multiLevelType w:val="hybridMultilevel"/>
    <w:tmpl w:val="96AA80BC"/>
    <w:lvl w:ilvl="0" w:tplc="D916D7C4">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5830A2"/>
    <w:multiLevelType w:val="multilevel"/>
    <w:tmpl w:val="F07A3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205803"/>
    <w:multiLevelType w:val="multilevel"/>
    <w:tmpl w:val="946A17AA"/>
    <w:lvl w:ilvl="0">
      <w:start w:val="1"/>
      <w:numFmt w:val="decimal"/>
      <w:pStyle w:val="Els-1storder-head"/>
      <w:suff w:val="space"/>
      <w:lvlText w:val="%1."/>
      <w:lvlJc w:val="left"/>
      <w:pPr>
        <w:ind w:left="360" w:firstLine="0"/>
      </w:pPr>
      <w:rPr>
        <w:sz w:val="24"/>
        <w:szCs w:val="24"/>
      </w:r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nsid w:val="5D932881"/>
    <w:multiLevelType w:val="hybridMultilevel"/>
    <w:tmpl w:val="301E352C"/>
    <w:lvl w:ilvl="0" w:tplc="3F32CB74">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0475E70"/>
    <w:multiLevelType w:val="hybridMultilevel"/>
    <w:tmpl w:val="87C63D0A"/>
    <w:lvl w:ilvl="0" w:tplc="3F32CB74">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8">
    <w:nsid w:val="730023DC"/>
    <w:multiLevelType w:val="hybridMultilevel"/>
    <w:tmpl w:val="779C0E4A"/>
    <w:lvl w:ilvl="0" w:tplc="3F32CB74">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nsid w:val="7BD14762"/>
    <w:multiLevelType w:val="hybridMultilevel"/>
    <w:tmpl w:val="F02E9C0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7C935E7B"/>
    <w:multiLevelType w:val="hybridMultilevel"/>
    <w:tmpl w:val="13C245DE"/>
    <w:lvl w:ilvl="0" w:tplc="C08093B6">
      <w:start w:val="2"/>
      <w:numFmt w:val="bullet"/>
      <w:lvlText w:val="-"/>
      <w:lvlJc w:val="left"/>
      <w:pPr>
        <w:ind w:left="720" w:hanging="360"/>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7"/>
  </w:num>
  <w:num w:numId="6">
    <w:abstractNumId w:val="1"/>
  </w:num>
  <w:num w:numId="7">
    <w:abstractNumId w:val="2"/>
  </w:num>
  <w:num w:numId="8">
    <w:abstractNumId w:val="4"/>
  </w:num>
  <w:num w:numId="9">
    <w:abstractNumId w:val="5"/>
  </w:num>
  <w:num w:numId="10">
    <w:abstractNumId w:val="9"/>
  </w:num>
  <w:num w:numId="11">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B71"/>
    <w:rsid w:val="0000353B"/>
    <w:rsid w:val="00004B55"/>
    <w:rsid w:val="0001588C"/>
    <w:rsid w:val="00016456"/>
    <w:rsid w:val="000242C2"/>
    <w:rsid w:val="00027437"/>
    <w:rsid w:val="000274C0"/>
    <w:rsid w:val="0003060B"/>
    <w:rsid w:val="00031226"/>
    <w:rsid w:val="000321F8"/>
    <w:rsid w:val="00032475"/>
    <w:rsid w:val="00034192"/>
    <w:rsid w:val="00040295"/>
    <w:rsid w:val="000421EB"/>
    <w:rsid w:val="00044728"/>
    <w:rsid w:val="00045CA8"/>
    <w:rsid w:val="00046E8B"/>
    <w:rsid w:val="000513A5"/>
    <w:rsid w:val="00052560"/>
    <w:rsid w:val="0005360A"/>
    <w:rsid w:val="00055BF3"/>
    <w:rsid w:val="00056B4D"/>
    <w:rsid w:val="00060AD0"/>
    <w:rsid w:val="0006169E"/>
    <w:rsid w:val="00062517"/>
    <w:rsid w:val="00064CB7"/>
    <w:rsid w:val="00076B5B"/>
    <w:rsid w:val="00076DC1"/>
    <w:rsid w:val="00080AD5"/>
    <w:rsid w:val="00081B9D"/>
    <w:rsid w:val="000823C9"/>
    <w:rsid w:val="00083C18"/>
    <w:rsid w:val="000844C9"/>
    <w:rsid w:val="0008507A"/>
    <w:rsid w:val="0008623A"/>
    <w:rsid w:val="00091E25"/>
    <w:rsid w:val="00093914"/>
    <w:rsid w:val="0009464B"/>
    <w:rsid w:val="00095D87"/>
    <w:rsid w:val="00095EF0"/>
    <w:rsid w:val="0009695F"/>
    <w:rsid w:val="00096E77"/>
    <w:rsid w:val="00097D47"/>
    <w:rsid w:val="000A54D3"/>
    <w:rsid w:val="000A6BF5"/>
    <w:rsid w:val="000A6FC5"/>
    <w:rsid w:val="000B30E8"/>
    <w:rsid w:val="000B3BD7"/>
    <w:rsid w:val="000C3D01"/>
    <w:rsid w:val="000C51F9"/>
    <w:rsid w:val="000D195D"/>
    <w:rsid w:val="000D2514"/>
    <w:rsid w:val="000D4058"/>
    <w:rsid w:val="000D4959"/>
    <w:rsid w:val="000D49F6"/>
    <w:rsid w:val="000D5616"/>
    <w:rsid w:val="000D6CE2"/>
    <w:rsid w:val="000E1629"/>
    <w:rsid w:val="000E246F"/>
    <w:rsid w:val="000E44F5"/>
    <w:rsid w:val="000E4BAB"/>
    <w:rsid w:val="000E54C8"/>
    <w:rsid w:val="000E5F9C"/>
    <w:rsid w:val="000E670D"/>
    <w:rsid w:val="000E7BC4"/>
    <w:rsid w:val="000F058B"/>
    <w:rsid w:val="000F6200"/>
    <w:rsid w:val="000F6CAF"/>
    <w:rsid w:val="000F7B80"/>
    <w:rsid w:val="00100CCD"/>
    <w:rsid w:val="00101171"/>
    <w:rsid w:val="001038A3"/>
    <w:rsid w:val="00103978"/>
    <w:rsid w:val="0010446C"/>
    <w:rsid w:val="001111B1"/>
    <w:rsid w:val="001121C2"/>
    <w:rsid w:val="0011272F"/>
    <w:rsid w:val="00112C2E"/>
    <w:rsid w:val="0011372D"/>
    <w:rsid w:val="0011585C"/>
    <w:rsid w:val="00116BE5"/>
    <w:rsid w:val="00116EE2"/>
    <w:rsid w:val="001213CF"/>
    <w:rsid w:val="0012182E"/>
    <w:rsid w:val="00121B07"/>
    <w:rsid w:val="0013043E"/>
    <w:rsid w:val="0013182E"/>
    <w:rsid w:val="00133B49"/>
    <w:rsid w:val="0013755C"/>
    <w:rsid w:val="001375BD"/>
    <w:rsid w:val="0014176A"/>
    <w:rsid w:val="00141CF6"/>
    <w:rsid w:val="00143C9B"/>
    <w:rsid w:val="001442F9"/>
    <w:rsid w:val="00144CC9"/>
    <w:rsid w:val="00144D04"/>
    <w:rsid w:val="00150E1F"/>
    <w:rsid w:val="00151A1A"/>
    <w:rsid w:val="00151F0B"/>
    <w:rsid w:val="00153E12"/>
    <w:rsid w:val="00154156"/>
    <w:rsid w:val="00156C8D"/>
    <w:rsid w:val="001601FA"/>
    <w:rsid w:val="0016033F"/>
    <w:rsid w:val="00163D0F"/>
    <w:rsid w:val="00164076"/>
    <w:rsid w:val="00164F12"/>
    <w:rsid w:val="001721DB"/>
    <w:rsid w:val="00173BBE"/>
    <w:rsid w:val="00175940"/>
    <w:rsid w:val="0018344F"/>
    <w:rsid w:val="00184ED5"/>
    <w:rsid w:val="00186499"/>
    <w:rsid w:val="0019036B"/>
    <w:rsid w:val="00191D51"/>
    <w:rsid w:val="00192ED6"/>
    <w:rsid w:val="0019637A"/>
    <w:rsid w:val="00197A8A"/>
    <w:rsid w:val="001A3275"/>
    <w:rsid w:val="001A5BAE"/>
    <w:rsid w:val="001A644A"/>
    <w:rsid w:val="001A78F0"/>
    <w:rsid w:val="001A7A08"/>
    <w:rsid w:val="001B004C"/>
    <w:rsid w:val="001B0F95"/>
    <w:rsid w:val="001B280F"/>
    <w:rsid w:val="001B3DDF"/>
    <w:rsid w:val="001C06FA"/>
    <w:rsid w:val="001C0F9F"/>
    <w:rsid w:val="001C111A"/>
    <w:rsid w:val="001C4422"/>
    <w:rsid w:val="001C74F8"/>
    <w:rsid w:val="001D0421"/>
    <w:rsid w:val="001D103D"/>
    <w:rsid w:val="001D1746"/>
    <w:rsid w:val="001D31AC"/>
    <w:rsid w:val="001E2071"/>
    <w:rsid w:val="001E3063"/>
    <w:rsid w:val="001E4A9D"/>
    <w:rsid w:val="001E64C6"/>
    <w:rsid w:val="001E6723"/>
    <w:rsid w:val="001F44AA"/>
    <w:rsid w:val="001F6102"/>
    <w:rsid w:val="001F7D4F"/>
    <w:rsid w:val="00203038"/>
    <w:rsid w:val="002044A7"/>
    <w:rsid w:val="00205D6C"/>
    <w:rsid w:val="0021016A"/>
    <w:rsid w:val="002137CD"/>
    <w:rsid w:val="00217165"/>
    <w:rsid w:val="00220104"/>
    <w:rsid w:val="002234E9"/>
    <w:rsid w:val="0022458F"/>
    <w:rsid w:val="002268C4"/>
    <w:rsid w:val="0023312D"/>
    <w:rsid w:val="002347DA"/>
    <w:rsid w:val="00235138"/>
    <w:rsid w:val="00235CB0"/>
    <w:rsid w:val="0023695F"/>
    <w:rsid w:val="00242B39"/>
    <w:rsid w:val="00245BB6"/>
    <w:rsid w:val="00245D19"/>
    <w:rsid w:val="00246E6C"/>
    <w:rsid w:val="00247118"/>
    <w:rsid w:val="00247835"/>
    <w:rsid w:val="00247A7E"/>
    <w:rsid w:val="002502C4"/>
    <w:rsid w:val="002513D1"/>
    <w:rsid w:val="002518CA"/>
    <w:rsid w:val="00252789"/>
    <w:rsid w:val="0025326E"/>
    <w:rsid w:val="00253F5C"/>
    <w:rsid w:val="002545EB"/>
    <w:rsid w:val="00260182"/>
    <w:rsid w:val="00261D7C"/>
    <w:rsid w:val="0026305C"/>
    <w:rsid w:val="0026680B"/>
    <w:rsid w:val="00266C66"/>
    <w:rsid w:val="00266E03"/>
    <w:rsid w:val="002672E5"/>
    <w:rsid w:val="00267CB3"/>
    <w:rsid w:val="00273655"/>
    <w:rsid w:val="00273F81"/>
    <w:rsid w:val="0028016D"/>
    <w:rsid w:val="00281557"/>
    <w:rsid w:val="00284B72"/>
    <w:rsid w:val="00285C7B"/>
    <w:rsid w:val="00286DD1"/>
    <w:rsid w:val="00291426"/>
    <w:rsid w:val="00292829"/>
    <w:rsid w:val="00292D76"/>
    <w:rsid w:val="0029402D"/>
    <w:rsid w:val="002A02D8"/>
    <w:rsid w:val="002A329F"/>
    <w:rsid w:val="002A53A6"/>
    <w:rsid w:val="002A5759"/>
    <w:rsid w:val="002B0307"/>
    <w:rsid w:val="002B208E"/>
    <w:rsid w:val="002B2371"/>
    <w:rsid w:val="002B2CA6"/>
    <w:rsid w:val="002B3AB5"/>
    <w:rsid w:val="002C0858"/>
    <w:rsid w:val="002C3710"/>
    <w:rsid w:val="002C3BF5"/>
    <w:rsid w:val="002C731E"/>
    <w:rsid w:val="002D0A96"/>
    <w:rsid w:val="002D1708"/>
    <w:rsid w:val="002D1AB6"/>
    <w:rsid w:val="002D1C2A"/>
    <w:rsid w:val="002D45B7"/>
    <w:rsid w:val="002D5242"/>
    <w:rsid w:val="002D7C25"/>
    <w:rsid w:val="002E050D"/>
    <w:rsid w:val="002E0535"/>
    <w:rsid w:val="002E16C0"/>
    <w:rsid w:val="002E17D9"/>
    <w:rsid w:val="002E2F89"/>
    <w:rsid w:val="002E3C56"/>
    <w:rsid w:val="002F10F8"/>
    <w:rsid w:val="002F1DA1"/>
    <w:rsid w:val="002F4141"/>
    <w:rsid w:val="002F5E22"/>
    <w:rsid w:val="002F5E8F"/>
    <w:rsid w:val="00302A79"/>
    <w:rsid w:val="00304B0C"/>
    <w:rsid w:val="00305C43"/>
    <w:rsid w:val="00317320"/>
    <w:rsid w:val="003251B3"/>
    <w:rsid w:val="0033165A"/>
    <w:rsid w:val="00333959"/>
    <w:rsid w:val="00336E11"/>
    <w:rsid w:val="003379CA"/>
    <w:rsid w:val="003415CE"/>
    <w:rsid w:val="003444B1"/>
    <w:rsid w:val="00345FCC"/>
    <w:rsid w:val="00346B07"/>
    <w:rsid w:val="00347ABA"/>
    <w:rsid w:val="0035028C"/>
    <w:rsid w:val="00353F0A"/>
    <w:rsid w:val="00354522"/>
    <w:rsid w:val="003569F5"/>
    <w:rsid w:val="00356F29"/>
    <w:rsid w:val="0036059B"/>
    <w:rsid w:val="00361D85"/>
    <w:rsid w:val="003734AE"/>
    <w:rsid w:val="00375D47"/>
    <w:rsid w:val="00375E1F"/>
    <w:rsid w:val="00377594"/>
    <w:rsid w:val="003777E0"/>
    <w:rsid w:val="00382438"/>
    <w:rsid w:val="00386FB5"/>
    <w:rsid w:val="003908F5"/>
    <w:rsid w:val="00391206"/>
    <w:rsid w:val="003920A1"/>
    <w:rsid w:val="003931B6"/>
    <w:rsid w:val="00393B2A"/>
    <w:rsid w:val="00395449"/>
    <w:rsid w:val="00395B93"/>
    <w:rsid w:val="003A4C96"/>
    <w:rsid w:val="003A4E52"/>
    <w:rsid w:val="003A54EA"/>
    <w:rsid w:val="003B46A9"/>
    <w:rsid w:val="003B4B16"/>
    <w:rsid w:val="003B52D2"/>
    <w:rsid w:val="003B5C9B"/>
    <w:rsid w:val="003B6E15"/>
    <w:rsid w:val="003B7732"/>
    <w:rsid w:val="003C1375"/>
    <w:rsid w:val="003C1A8C"/>
    <w:rsid w:val="003C1C2B"/>
    <w:rsid w:val="003C264D"/>
    <w:rsid w:val="003C566F"/>
    <w:rsid w:val="003C6382"/>
    <w:rsid w:val="003C696D"/>
    <w:rsid w:val="003D0C52"/>
    <w:rsid w:val="003D40D0"/>
    <w:rsid w:val="003D6840"/>
    <w:rsid w:val="003D6E89"/>
    <w:rsid w:val="003E0611"/>
    <w:rsid w:val="003E0BE9"/>
    <w:rsid w:val="003E422D"/>
    <w:rsid w:val="003E7C53"/>
    <w:rsid w:val="003F0DD3"/>
    <w:rsid w:val="003F1799"/>
    <w:rsid w:val="003F1DF3"/>
    <w:rsid w:val="003F5DAB"/>
    <w:rsid w:val="003F6991"/>
    <w:rsid w:val="0040327F"/>
    <w:rsid w:val="00403962"/>
    <w:rsid w:val="0041339F"/>
    <w:rsid w:val="00417F0A"/>
    <w:rsid w:val="004205A1"/>
    <w:rsid w:val="0042100E"/>
    <w:rsid w:val="00423FAF"/>
    <w:rsid w:val="004240B6"/>
    <w:rsid w:val="0042511C"/>
    <w:rsid w:val="004278AA"/>
    <w:rsid w:val="00427B79"/>
    <w:rsid w:val="0043117F"/>
    <w:rsid w:val="004313A0"/>
    <w:rsid w:val="00431B66"/>
    <w:rsid w:val="004401E5"/>
    <w:rsid w:val="004406D5"/>
    <w:rsid w:val="004414B5"/>
    <w:rsid w:val="004422CB"/>
    <w:rsid w:val="004437BE"/>
    <w:rsid w:val="00445A20"/>
    <w:rsid w:val="004476F7"/>
    <w:rsid w:val="00447A17"/>
    <w:rsid w:val="004518F5"/>
    <w:rsid w:val="0045239C"/>
    <w:rsid w:val="00452618"/>
    <w:rsid w:val="00453572"/>
    <w:rsid w:val="00454279"/>
    <w:rsid w:val="00457664"/>
    <w:rsid w:val="00457A9A"/>
    <w:rsid w:val="0046032E"/>
    <w:rsid w:val="0046180A"/>
    <w:rsid w:val="0046314A"/>
    <w:rsid w:val="00464EA9"/>
    <w:rsid w:val="00467834"/>
    <w:rsid w:val="00472035"/>
    <w:rsid w:val="0047494A"/>
    <w:rsid w:val="00475864"/>
    <w:rsid w:val="004762CF"/>
    <w:rsid w:val="0047722C"/>
    <w:rsid w:val="00480511"/>
    <w:rsid w:val="00480CE3"/>
    <w:rsid w:val="00480E01"/>
    <w:rsid w:val="0048241A"/>
    <w:rsid w:val="00484C54"/>
    <w:rsid w:val="0049063E"/>
    <w:rsid w:val="00490AFB"/>
    <w:rsid w:val="00490BFE"/>
    <w:rsid w:val="004923C1"/>
    <w:rsid w:val="00492D60"/>
    <w:rsid w:val="00494AB0"/>
    <w:rsid w:val="00496495"/>
    <w:rsid w:val="004A2D55"/>
    <w:rsid w:val="004A504E"/>
    <w:rsid w:val="004B0CEA"/>
    <w:rsid w:val="004B159B"/>
    <w:rsid w:val="004B507A"/>
    <w:rsid w:val="004B5A40"/>
    <w:rsid w:val="004B7C35"/>
    <w:rsid w:val="004C061D"/>
    <w:rsid w:val="004C10E6"/>
    <w:rsid w:val="004C1A54"/>
    <w:rsid w:val="004C1AF8"/>
    <w:rsid w:val="004C7F3C"/>
    <w:rsid w:val="004D3C6E"/>
    <w:rsid w:val="004E2172"/>
    <w:rsid w:val="004E473C"/>
    <w:rsid w:val="004F0167"/>
    <w:rsid w:val="004F45AD"/>
    <w:rsid w:val="004F56C1"/>
    <w:rsid w:val="004F7C01"/>
    <w:rsid w:val="005010B1"/>
    <w:rsid w:val="005014DA"/>
    <w:rsid w:val="00501528"/>
    <w:rsid w:val="005052D2"/>
    <w:rsid w:val="00505F3D"/>
    <w:rsid w:val="00506FA7"/>
    <w:rsid w:val="005105D1"/>
    <w:rsid w:val="00513AB4"/>
    <w:rsid w:val="00515194"/>
    <w:rsid w:val="00516FD6"/>
    <w:rsid w:val="005209C3"/>
    <w:rsid w:val="00522414"/>
    <w:rsid w:val="0052373D"/>
    <w:rsid w:val="00524B57"/>
    <w:rsid w:val="005257C6"/>
    <w:rsid w:val="00525D40"/>
    <w:rsid w:val="00530059"/>
    <w:rsid w:val="005301FF"/>
    <w:rsid w:val="00532213"/>
    <w:rsid w:val="00532873"/>
    <w:rsid w:val="00533E54"/>
    <w:rsid w:val="00534493"/>
    <w:rsid w:val="00535973"/>
    <w:rsid w:val="00535F8D"/>
    <w:rsid w:val="00536BA5"/>
    <w:rsid w:val="00537A8A"/>
    <w:rsid w:val="0054051F"/>
    <w:rsid w:val="005414BC"/>
    <w:rsid w:val="0054156D"/>
    <w:rsid w:val="005418F2"/>
    <w:rsid w:val="0054727F"/>
    <w:rsid w:val="00554888"/>
    <w:rsid w:val="005551DE"/>
    <w:rsid w:val="00556A2A"/>
    <w:rsid w:val="005573B6"/>
    <w:rsid w:val="00560D1C"/>
    <w:rsid w:val="0056223B"/>
    <w:rsid w:val="0056263B"/>
    <w:rsid w:val="0056437C"/>
    <w:rsid w:val="005714BE"/>
    <w:rsid w:val="00572BE5"/>
    <w:rsid w:val="005736C5"/>
    <w:rsid w:val="005757E0"/>
    <w:rsid w:val="005773D8"/>
    <w:rsid w:val="00577A5A"/>
    <w:rsid w:val="0058193B"/>
    <w:rsid w:val="00582795"/>
    <w:rsid w:val="00585755"/>
    <w:rsid w:val="00586272"/>
    <w:rsid w:val="00587F74"/>
    <w:rsid w:val="00591551"/>
    <w:rsid w:val="0059187F"/>
    <w:rsid w:val="00595415"/>
    <w:rsid w:val="0059760C"/>
    <w:rsid w:val="005A0998"/>
    <w:rsid w:val="005A3800"/>
    <w:rsid w:val="005A4B30"/>
    <w:rsid w:val="005A745D"/>
    <w:rsid w:val="005B0AE4"/>
    <w:rsid w:val="005B1224"/>
    <w:rsid w:val="005B260B"/>
    <w:rsid w:val="005B3457"/>
    <w:rsid w:val="005C13B0"/>
    <w:rsid w:val="005C282C"/>
    <w:rsid w:val="005C45FA"/>
    <w:rsid w:val="005C5178"/>
    <w:rsid w:val="005C6234"/>
    <w:rsid w:val="005C7A15"/>
    <w:rsid w:val="005D07A8"/>
    <w:rsid w:val="005D10E1"/>
    <w:rsid w:val="005D5B4A"/>
    <w:rsid w:val="005D70B8"/>
    <w:rsid w:val="005D7ECF"/>
    <w:rsid w:val="005E063E"/>
    <w:rsid w:val="005E3328"/>
    <w:rsid w:val="005E3F75"/>
    <w:rsid w:val="005E5B0D"/>
    <w:rsid w:val="005E62CD"/>
    <w:rsid w:val="005F0804"/>
    <w:rsid w:val="005F2AF4"/>
    <w:rsid w:val="005F369E"/>
    <w:rsid w:val="005F7A89"/>
    <w:rsid w:val="00600376"/>
    <w:rsid w:val="00601738"/>
    <w:rsid w:val="00604656"/>
    <w:rsid w:val="006102BA"/>
    <w:rsid w:val="0061297F"/>
    <w:rsid w:val="0062260A"/>
    <w:rsid w:val="00625AD3"/>
    <w:rsid w:val="00625AFE"/>
    <w:rsid w:val="00625C4D"/>
    <w:rsid w:val="00635CF6"/>
    <w:rsid w:val="006363E8"/>
    <w:rsid w:val="0064232C"/>
    <w:rsid w:val="006429BB"/>
    <w:rsid w:val="006460E3"/>
    <w:rsid w:val="0064725B"/>
    <w:rsid w:val="00647409"/>
    <w:rsid w:val="00654049"/>
    <w:rsid w:val="00661440"/>
    <w:rsid w:val="00662FF8"/>
    <w:rsid w:val="006639D3"/>
    <w:rsid w:val="00667D3E"/>
    <w:rsid w:val="00670399"/>
    <w:rsid w:val="006759ED"/>
    <w:rsid w:val="006771C5"/>
    <w:rsid w:val="00680F62"/>
    <w:rsid w:val="0068122B"/>
    <w:rsid w:val="006825AA"/>
    <w:rsid w:val="00690CF5"/>
    <w:rsid w:val="00694F83"/>
    <w:rsid w:val="006979FF"/>
    <w:rsid w:val="006A1C18"/>
    <w:rsid w:val="006A4F9F"/>
    <w:rsid w:val="006A64DF"/>
    <w:rsid w:val="006A76A8"/>
    <w:rsid w:val="006B1DAD"/>
    <w:rsid w:val="006B3A1E"/>
    <w:rsid w:val="006C40FC"/>
    <w:rsid w:val="006C4E6D"/>
    <w:rsid w:val="006C6C60"/>
    <w:rsid w:val="006D0A42"/>
    <w:rsid w:val="006D2094"/>
    <w:rsid w:val="006D24E2"/>
    <w:rsid w:val="006D36EE"/>
    <w:rsid w:val="006D53ED"/>
    <w:rsid w:val="006D5E2C"/>
    <w:rsid w:val="006E191C"/>
    <w:rsid w:val="006E1966"/>
    <w:rsid w:val="006E324D"/>
    <w:rsid w:val="006E38DE"/>
    <w:rsid w:val="006E4202"/>
    <w:rsid w:val="006E4D82"/>
    <w:rsid w:val="006E59A1"/>
    <w:rsid w:val="006E5F1B"/>
    <w:rsid w:val="006E6E63"/>
    <w:rsid w:val="006F5AAF"/>
    <w:rsid w:val="006F63C9"/>
    <w:rsid w:val="006F7F5D"/>
    <w:rsid w:val="00703912"/>
    <w:rsid w:val="007046DD"/>
    <w:rsid w:val="00710066"/>
    <w:rsid w:val="00712258"/>
    <w:rsid w:val="00712E46"/>
    <w:rsid w:val="0071345A"/>
    <w:rsid w:val="00713E6B"/>
    <w:rsid w:val="00713FA0"/>
    <w:rsid w:val="00714E2B"/>
    <w:rsid w:val="00716DF8"/>
    <w:rsid w:val="0072282E"/>
    <w:rsid w:val="00723DBB"/>
    <w:rsid w:val="0072539B"/>
    <w:rsid w:val="00726401"/>
    <w:rsid w:val="00726699"/>
    <w:rsid w:val="00730404"/>
    <w:rsid w:val="00730B96"/>
    <w:rsid w:val="007327A7"/>
    <w:rsid w:val="00732A1C"/>
    <w:rsid w:val="007334DD"/>
    <w:rsid w:val="007338D3"/>
    <w:rsid w:val="00735CE0"/>
    <w:rsid w:val="0074369C"/>
    <w:rsid w:val="00743914"/>
    <w:rsid w:val="00743B2B"/>
    <w:rsid w:val="00745D87"/>
    <w:rsid w:val="00745E51"/>
    <w:rsid w:val="007460B2"/>
    <w:rsid w:val="00750D12"/>
    <w:rsid w:val="007537F4"/>
    <w:rsid w:val="007564ED"/>
    <w:rsid w:val="00762C26"/>
    <w:rsid w:val="007663C5"/>
    <w:rsid w:val="00766D49"/>
    <w:rsid w:val="0076789D"/>
    <w:rsid w:val="007679AC"/>
    <w:rsid w:val="00771B16"/>
    <w:rsid w:val="00774DB2"/>
    <w:rsid w:val="007767FE"/>
    <w:rsid w:val="007811DC"/>
    <w:rsid w:val="00784BFC"/>
    <w:rsid w:val="00786AA7"/>
    <w:rsid w:val="00792021"/>
    <w:rsid w:val="007A04B4"/>
    <w:rsid w:val="007A072C"/>
    <w:rsid w:val="007A2F92"/>
    <w:rsid w:val="007A3544"/>
    <w:rsid w:val="007A36D4"/>
    <w:rsid w:val="007A37DE"/>
    <w:rsid w:val="007A7511"/>
    <w:rsid w:val="007B04CE"/>
    <w:rsid w:val="007B108B"/>
    <w:rsid w:val="007B4B4A"/>
    <w:rsid w:val="007B526D"/>
    <w:rsid w:val="007B59B0"/>
    <w:rsid w:val="007B600C"/>
    <w:rsid w:val="007B6719"/>
    <w:rsid w:val="007C0DC1"/>
    <w:rsid w:val="007D15EA"/>
    <w:rsid w:val="007D38E0"/>
    <w:rsid w:val="007D3F56"/>
    <w:rsid w:val="007D548F"/>
    <w:rsid w:val="007D5CA1"/>
    <w:rsid w:val="007D6310"/>
    <w:rsid w:val="007D6CEC"/>
    <w:rsid w:val="007D7F62"/>
    <w:rsid w:val="007E242B"/>
    <w:rsid w:val="007E779C"/>
    <w:rsid w:val="007F647C"/>
    <w:rsid w:val="007F77F8"/>
    <w:rsid w:val="00804EE5"/>
    <w:rsid w:val="00805348"/>
    <w:rsid w:val="0080565A"/>
    <w:rsid w:val="0080786F"/>
    <w:rsid w:val="00807D00"/>
    <w:rsid w:val="00811FAB"/>
    <w:rsid w:val="008140D6"/>
    <w:rsid w:val="00815C93"/>
    <w:rsid w:val="00817B92"/>
    <w:rsid w:val="00817CA9"/>
    <w:rsid w:val="00820006"/>
    <w:rsid w:val="00820E7E"/>
    <w:rsid w:val="0082209A"/>
    <w:rsid w:val="00822F7B"/>
    <w:rsid w:val="008233D0"/>
    <w:rsid w:val="00823D75"/>
    <w:rsid w:val="00824B70"/>
    <w:rsid w:val="008251FA"/>
    <w:rsid w:val="00825B7B"/>
    <w:rsid w:val="0082769D"/>
    <w:rsid w:val="00827944"/>
    <w:rsid w:val="00831120"/>
    <w:rsid w:val="00832834"/>
    <w:rsid w:val="0083404E"/>
    <w:rsid w:val="00834177"/>
    <w:rsid w:val="00834504"/>
    <w:rsid w:val="00834C54"/>
    <w:rsid w:val="0084037F"/>
    <w:rsid w:val="008420C0"/>
    <w:rsid w:val="00844618"/>
    <w:rsid w:val="008478D5"/>
    <w:rsid w:val="00850C3E"/>
    <w:rsid w:val="0085113C"/>
    <w:rsid w:val="0085166E"/>
    <w:rsid w:val="00854FC4"/>
    <w:rsid w:val="008553CC"/>
    <w:rsid w:val="008560B8"/>
    <w:rsid w:val="0085760F"/>
    <w:rsid w:val="008601E5"/>
    <w:rsid w:val="00861EEA"/>
    <w:rsid w:val="00864168"/>
    <w:rsid w:val="008667CD"/>
    <w:rsid w:val="00866A68"/>
    <w:rsid w:val="00867513"/>
    <w:rsid w:val="0087478D"/>
    <w:rsid w:val="00874E31"/>
    <w:rsid w:val="00883939"/>
    <w:rsid w:val="00884736"/>
    <w:rsid w:val="00885B80"/>
    <w:rsid w:val="00892127"/>
    <w:rsid w:val="00892641"/>
    <w:rsid w:val="008975CE"/>
    <w:rsid w:val="00897789"/>
    <w:rsid w:val="00897DD8"/>
    <w:rsid w:val="008A0242"/>
    <w:rsid w:val="008A18EE"/>
    <w:rsid w:val="008A5D2E"/>
    <w:rsid w:val="008A5E25"/>
    <w:rsid w:val="008B1C87"/>
    <w:rsid w:val="008B5E5B"/>
    <w:rsid w:val="008B6546"/>
    <w:rsid w:val="008C2EAC"/>
    <w:rsid w:val="008C3BCB"/>
    <w:rsid w:val="008C4B65"/>
    <w:rsid w:val="008C4CE9"/>
    <w:rsid w:val="008C70E9"/>
    <w:rsid w:val="008D0F27"/>
    <w:rsid w:val="008D148B"/>
    <w:rsid w:val="008D69D2"/>
    <w:rsid w:val="008E13F5"/>
    <w:rsid w:val="008E2A23"/>
    <w:rsid w:val="008E2EFC"/>
    <w:rsid w:val="008E3A2F"/>
    <w:rsid w:val="008E4212"/>
    <w:rsid w:val="008E423A"/>
    <w:rsid w:val="008E4CE0"/>
    <w:rsid w:val="008E4D3A"/>
    <w:rsid w:val="008E4FD0"/>
    <w:rsid w:val="008F3C61"/>
    <w:rsid w:val="008F4AFF"/>
    <w:rsid w:val="008F6086"/>
    <w:rsid w:val="0090144C"/>
    <w:rsid w:val="00901563"/>
    <w:rsid w:val="0090266A"/>
    <w:rsid w:val="00902E8F"/>
    <w:rsid w:val="00906913"/>
    <w:rsid w:val="00906DD1"/>
    <w:rsid w:val="00906DEF"/>
    <w:rsid w:val="00907B2D"/>
    <w:rsid w:val="00907EBB"/>
    <w:rsid w:val="00911FF0"/>
    <w:rsid w:val="00914985"/>
    <w:rsid w:val="00916FDA"/>
    <w:rsid w:val="009172C0"/>
    <w:rsid w:val="009175AC"/>
    <w:rsid w:val="00920EEF"/>
    <w:rsid w:val="0092259C"/>
    <w:rsid w:val="0093036D"/>
    <w:rsid w:val="009312D6"/>
    <w:rsid w:val="009318D4"/>
    <w:rsid w:val="00931A3A"/>
    <w:rsid w:val="009337C6"/>
    <w:rsid w:val="00933AB9"/>
    <w:rsid w:val="0093452B"/>
    <w:rsid w:val="009371D3"/>
    <w:rsid w:val="0094078C"/>
    <w:rsid w:val="00940EB1"/>
    <w:rsid w:val="00941738"/>
    <w:rsid w:val="00946B80"/>
    <w:rsid w:val="00950324"/>
    <w:rsid w:val="0095439C"/>
    <w:rsid w:val="00954433"/>
    <w:rsid w:val="009547C8"/>
    <w:rsid w:val="009549D0"/>
    <w:rsid w:val="00955067"/>
    <w:rsid w:val="00955D66"/>
    <w:rsid w:val="00962A64"/>
    <w:rsid w:val="00967A50"/>
    <w:rsid w:val="00967FAA"/>
    <w:rsid w:val="00971791"/>
    <w:rsid w:val="00974D21"/>
    <w:rsid w:val="00975338"/>
    <w:rsid w:val="009759BC"/>
    <w:rsid w:val="00975F7A"/>
    <w:rsid w:val="009774B9"/>
    <w:rsid w:val="00983D6A"/>
    <w:rsid w:val="00984F23"/>
    <w:rsid w:val="00992CF1"/>
    <w:rsid w:val="00992ECE"/>
    <w:rsid w:val="009935EB"/>
    <w:rsid w:val="00994005"/>
    <w:rsid w:val="0099626D"/>
    <w:rsid w:val="009B04B6"/>
    <w:rsid w:val="009B434A"/>
    <w:rsid w:val="009C098C"/>
    <w:rsid w:val="009C3595"/>
    <w:rsid w:val="009C48CD"/>
    <w:rsid w:val="009C54B8"/>
    <w:rsid w:val="009C5BB9"/>
    <w:rsid w:val="009C7011"/>
    <w:rsid w:val="009C71F0"/>
    <w:rsid w:val="009D15FF"/>
    <w:rsid w:val="009D21A5"/>
    <w:rsid w:val="009D2849"/>
    <w:rsid w:val="009D62E5"/>
    <w:rsid w:val="009D724F"/>
    <w:rsid w:val="009E087F"/>
    <w:rsid w:val="009E0A83"/>
    <w:rsid w:val="009E2814"/>
    <w:rsid w:val="009E29F8"/>
    <w:rsid w:val="009E3E36"/>
    <w:rsid w:val="009E4DF5"/>
    <w:rsid w:val="009E5DBB"/>
    <w:rsid w:val="009F2126"/>
    <w:rsid w:val="009F371E"/>
    <w:rsid w:val="009F65A5"/>
    <w:rsid w:val="00A00D7C"/>
    <w:rsid w:val="00A02207"/>
    <w:rsid w:val="00A03853"/>
    <w:rsid w:val="00A0399C"/>
    <w:rsid w:val="00A043B4"/>
    <w:rsid w:val="00A04C65"/>
    <w:rsid w:val="00A06056"/>
    <w:rsid w:val="00A063FF"/>
    <w:rsid w:val="00A10A5D"/>
    <w:rsid w:val="00A123CA"/>
    <w:rsid w:val="00A16A20"/>
    <w:rsid w:val="00A17670"/>
    <w:rsid w:val="00A20872"/>
    <w:rsid w:val="00A24E70"/>
    <w:rsid w:val="00A260F2"/>
    <w:rsid w:val="00A31392"/>
    <w:rsid w:val="00A3152D"/>
    <w:rsid w:val="00A34403"/>
    <w:rsid w:val="00A3678A"/>
    <w:rsid w:val="00A42D19"/>
    <w:rsid w:val="00A43444"/>
    <w:rsid w:val="00A463C6"/>
    <w:rsid w:val="00A52A82"/>
    <w:rsid w:val="00A53F64"/>
    <w:rsid w:val="00A54A8E"/>
    <w:rsid w:val="00A576B7"/>
    <w:rsid w:val="00A6147C"/>
    <w:rsid w:val="00A62471"/>
    <w:rsid w:val="00A62FF0"/>
    <w:rsid w:val="00A67B74"/>
    <w:rsid w:val="00A70054"/>
    <w:rsid w:val="00A701E9"/>
    <w:rsid w:val="00A71244"/>
    <w:rsid w:val="00A712AD"/>
    <w:rsid w:val="00A71CA3"/>
    <w:rsid w:val="00A72641"/>
    <w:rsid w:val="00A7443D"/>
    <w:rsid w:val="00A7456B"/>
    <w:rsid w:val="00A77E8A"/>
    <w:rsid w:val="00A8016E"/>
    <w:rsid w:val="00A80380"/>
    <w:rsid w:val="00A803AB"/>
    <w:rsid w:val="00A80603"/>
    <w:rsid w:val="00A80CD2"/>
    <w:rsid w:val="00A8385F"/>
    <w:rsid w:val="00A857FB"/>
    <w:rsid w:val="00A873DA"/>
    <w:rsid w:val="00A913E7"/>
    <w:rsid w:val="00A92128"/>
    <w:rsid w:val="00A97958"/>
    <w:rsid w:val="00AA28D0"/>
    <w:rsid w:val="00AA31D4"/>
    <w:rsid w:val="00AA61FD"/>
    <w:rsid w:val="00AB63D6"/>
    <w:rsid w:val="00AC2389"/>
    <w:rsid w:val="00AC3C51"/>
    <w:rsid w:val="00AC4976"/>
    <w:rsid w:val="00AC7C3E"/>
    <w:rsid w:val="00AD1D38"/>
    <w:rsid w:val="00AD34FC"/>
    <w:rsid w:val="00AD36B3"/>
    <w:rsid w:val="00AD3ED8"/>
    <w:rsid w:val="00AD413B"/>
    <w:rsid w:val="00AD58BC"/>
    <w:rsid w:val="00AD7EA8"/>
    <w:rsid w:val="00AE6DC3"/>
    <w:rsid w:val="00AE7709"/>
    <w:rsid w:val="00AF1F43"/>
    <w:rsid w:val="00AF6487"/>
    <w:rsid w:val="00B02D47"/>
    <w:rsid w:val="00B03DD1"/>
    <w:rsid w:val="00B10A0F"/>
    <w:rsid w:val="00B11318"/>
    <w:rsid w:val="00B13444"/>
    <w:rsid w:val="00B14446"/>
    <w:rsid w:val="00B166DE"/>
    <w:rsid w:val="00B1780C"/>
    <w:rsid w:val="00B17D13"/>
    <w:rsid w:val="00B2083D"/>
    <w:rsid w:val="00B237E4"/>
    <w:rsid w:val="00B2451D"/>
    <w:rsid w:val="00B2618E"/>
    <w:rsid w:val="00B333B6"/>
    <w:rsid w:val="00B40B39"/>
    <w:rsid w:val="00B41047"/>
    <w:rsid w:val="00B42EF6"/>
    <w:rsid w:val="00B4450A"/>
    <w:rsid w:val="00B4453B"/>
    <w:rsid w:val="00B46FE5"/>
    <w:rsid w:val="00B525F8"/>
    <w:rsid w:val="00B56A9C"/>
    <w:rsid w:val="00B6094E"/>
    <w:rsid w:val="00B62C98"/>
    <w:rsid w:val="00B6304E"/>
    <w:rsid w:val="00B65DA4"/>
    <w:rsid w:val="00B66323"/>
    <w:rsid w:val="00B76F3A"/>
    <w:rsid w:val="00B81BC4"/>
    <w:rsid w:val="00B84215"/>
    <w:rsid w:val="00B90213"/>
    <w:rsid w:val="00B95985"/>
    <w:rsid w:val="00B9637C"/>
    <w:rsid w:val="00BA4D3A"/>
    <w:rsid w:val="00BA6BB0"/>
    <w:rsid w:val="00BB057D"/>
    <w:rsid w:val="00BB215D"/>
    <w:rsid w:val="00BB558D"/>
    <w:rsid w:val="00BB5899"/>
    <w:rsid w:val="00BB6472"/>
    <w:rsid w:val="00BB776A"/>
    <w:rsid w:val="00BC2ECB"/>
    <w:rsid w:val="00BC3121"/>
    <w:rsid w:val="00BD4DD4"/>
    <w:rsid w:val="00BD746B"/>
    <w:rsid w:val="00BE0D59"/>
    <w:rsid w:val="00BE164A"/>
    <w:rsid w:val="00BE4855"/>
    <w:rsid w:val="00BE6A1D"/>
    <w:rsid w:val="00BE732B"/>
    <w:rsid w:val="00BF021F"/>
    <w:rsid w:val="00BF3A8B"/>
    <w:rsid w:val="00BF4658"/>
    <w:rsid w:val="00BF6FB3"/>
    <w:rsid w:val="00BF74AB"/>
    <w:rsid w:val="00BF75D5"/>
    <w:rsid w:val="00C014A7"/>
    <w:rsid w:val="00C025D0"/>
    <w:rsid w:val="00C050B9"/>
    <w:rsid w:val="00C10AA2"/>
    <w:rsid w:val="00C11568"/>
    <w:rsid w:val="00C14259"/>
    <w:rsid w:val="00C15DEC"/>
    <w:rsid w:val="00C16F65"/>
    <w:rsid w:val="00C22324"/>
    <w:rsid w:val="00C223E8"/>
    <w:rsid w:val="00C2619E"/>
    <w:rsid w:val="00C3087B"/>
    <w:rsid w:val="00C3262D"/>
    <w:rsid w:val="00C347DA"/>
    <w:rsid w:val="00C37902"/>
    <w:rsid w:val="00C40E31"/>
    <w:rsid w:val="00C41069"/>
    <w:rsid w:val="00C42B19"/>
    <w:rsid w:val="00C43CE1"/>
    <w:rsid w:val="00C50004"/>
    <w:rsid w:val="00C503CE"/>
    <w:rsid w:val="00C54815"/>
    <w:rsid w:val="00C5483D"/>
    <w:rsid w:val="00C55305"/>
    <w:rsid w:val="00C56178"/>
    <w:rsid w:val="00C622A7"/>
    <w:rsid w:val="00C6533F"/>
    <w:rsid w:val="00C81B74"/>
    <w:rsid w:val="00C82D80"/>
    <w:rsid w:val="00C91F77"/>
    <w:rsid w:val="00C94E76"/>
    <w:rsid w:val="00C9533F"/>
    <w:rsid w:val="00C95B63"/>
    <w:rsid w:val="00C9602E"/>
    <w:rsid w:val="00C96034"/>
    <w:rsid w:val="00C96529"/>
    <w:rsid w:val="00CA07D6"/>
    <w:rsid w:val="00CA20B9"/>
    <w:rsid w:val="00CA2F56"/>
    <w:rsid w:val="00CA7B6E"/>
    <w:rsid w:val="00CB048D"/>
    <w:rsid w:val="00CB58B5"/>
    <w:rsid w:val="00CB5B8B"/>
    <w:rsid w:val="00CB7EC1"/>
    <w:rsid w:val="00CC1883"/>
    <w:rsid w:val="00CC267F"/>
    <w:rsid w:val="00CC3BB5"/>
    <w:rsid w:val="00CC4563"/>
    <w:rsid w:val="00CD1A4B"/>
    <w:rsid w:val="00CD2E1E"/>
    <w:rsid w:val="00CD7AEF"/>
    <w:rsid w:val="00CE590C"/>
    <w:rsid w:val="00CF0E2B"/>
    <w:rsid w:val="00CF36B5"/>
    <w:rsid w:val="00CF4559"/>
    <w:rsid w:val="00CF5BD0"/>
    <w:rsid w:val="00D02929"/>
    <w:rsid w:val="00D10898"/>
    <w:rsid w:val="00D11083"/>
    <w:rsid w:val="00D150D9"/>
    <w:rsid w:val="00D15351"/>
    <w:rsid w:val="00D16099"/>
    <w:rsid w:val="00D1703B"/>
    <w:rsid w:val="00D20BAE"/>
    <w:rsid w:val="00D220E6"/>
    <w:rsid w:val="00D2260C"/>
    <w:rsid w:val="00D23152"/>
    <w:rsid w:val="00D26B71"/>
    <w:rsid w:val="00D34630"/>
    <w:rsid w:val="00D35663"/>
    <w:rsid w:val="00D35F3E"/>
    <w:rsid w:val="00D3647A"/>
    <w:rsid w:val="00D36639"/>
    <w:rsid w:val="00D37811"/>
    <w:rsid w:val="00D422DC"/>
    <w:rsid w:val="00D430E3"/>
    <w:rsid w:val="00D44240"/>
    <w:rsid w:val="00D53B03"/>
    <w:rsid w:val="00D60C45"/>
    <w:rsid w:val="00D62182"/>
    <w:rsid w:val="00D6353E"/>
    <w:rsid w:val="00D63B25"/>
    <w:rsid w:val="00D6491C"/>
    <w:rsid w:val="00D649D5"/>
    <w:rsid w:val="00D6510A"/>
    <w:rsid w:val="00D666D1"/>
    <w:rsid w:val="00D71299"/>
    <w:rsid w:val="00D72BA4"/>
    <w:rsid w:val="00D73D28"/>
    <w:rsid w:val="00D751BD"/>
    <w:rsid w:val="00D75BAC"/>
    <w:rsid w:val="00D76D4B"/>
    <w:rsid w:val="00D77013"/>
    <w:rsid w:val="00D778CD"/>
    <w:rsid w:val="00D804CE"/>
    <w:rsid w:val="00D86341"/>
    <w:rsid w:val="00D86428"/>
    <w:rsid w:val="00D86569"/>
    <w:rsid w:val="00D86BCD"/>
    <w:rsid w:val="00D92D1C"/>
    <w:rsid w:val="00D93C27"/>
    <w:rsid w:val="00D97746"/>
    <w:rsid w:val="00D978DC"/>
    <w:rsid w:val="00DA1D4D"/>
    <w:rsid w:val="00DA5487"/>
    <w:rsid w:val="00DA56E4"/>
    <w:rsid w:val="00DA66F1"/>
    <w:rsid w:val="00DB1E74"/>
    <w:rsid w:val="00DB4F7E"/>
    <w:rsid w:val="00DC1FE2"/>
    <w:rsid w:val="00DC2ABB"/>
    <w:rsid w:val="00DC3ED1"/>
    <w:rsid w:val="00DC781E"/>
    <w:rsid w:val="00DD0F0A"/>
    <w:rsid w:val="00DD1896"/>
    <w:rsid w:val="00DD3E4C"/>
    <w:rsid w:val="00DD437F"/>
    <w:rsid w:val="00DD49FA"/>
    <w:rsid w:val="00DD4E34"/>
    <w:rsid w:val="00DE508F"/>
    <w:rsid w:val="00DE7A82"/>
    <w:rsid w:val="00DF0231"/>
    <w:rsid w:val="00DF03D2"/>
    <w:rsid w:val="00DF161B"/>
    <w:rsid w:val="00DF4446"/>
    <w:rsid w:val="00DF5929"/>
    <w:rsid w:val="00DF7287"/>
    <w:rsid w:val="00E009B1"/>
    <w:rsid w:val="00E02DBB"/>
    <w:rsid w:val="00E04020"/>
    <w:rsid w:val="00E04C84"/>
    <w:rsid w:val="00E07574"/>
    <w:rsid w:val="00E07930"/>
    <w:rsid w:val="00E11BF9"/>
    <w:rsid w:val="00E127A2"/>
    <w:rsid w:val="00E12818"/>
    <w:rsid w:val="00E142CC"/>
    <w:rsid w:val="00E21359"/>
    <w:rsid w:val="00E22C1B"/>
    <w:rsid w:val="00E23832"/>
    <w:rsid w:val="00E239D5"/>
    <w:rsid w:val="00E252BE"/>
    <w:rsid w:val="00E30FB5"/>
    <w:rsid w:val="00E3104F"/>
    <w:rsid w:val="00E3235C"/>
    <w:rsid w:val="00E33E7A"/>
    <w:rsid w:val="00E33EC0"/>
    <w:rsid w:val="00E35E70"/>
    <w:rsid w:val="00E369AA"/>
    <w:rsid w:val="00E37FEB"/>
    <w:rsid w:val="00E40BAF"/>
    <w:rsid w:val="00E43931"/>
    <w:rsid w:val="00E5072D"/>
    <w:rsid w:val="00E52211"/>
    <w:rsid w:val="00E52601"/>
    <w:rsid w:val="00E5469E"/>
    <w:rsid w:val="00E57655"/>
    <w:rsid w:val="00E579CB"/>
    <w:rsid w:val="00E60F70"/>
    <w:rsid w:val="00E62F2A"/>
    <w:rsid w:val="00E66B83"/>
    <w:rsid w:val="00E71367"/>
    <w:rsid w:val="00E71CC5"/>
    <w:rsid w:val="00E71E94"/>
    <w:rsid w:val="00E75076"/>
    <w:rsid w:val="00E77CB1"/>
    <w:rsid w:val="00E81A5E"/>
    <w:rsid w:val="00E81FEC"/>
    <w:rsid w:val="00E83012"/>
    <w:rsid w:val="00E87B68"/>
    <w:rsid w:val="00E92765"/>
    <w:rsid w:val="00E94454"/>
    <w:rsid w:val="00E9448D"/>
    <w:rsid w:val="00E96976"/>
    <w:rsid w:val="00E97C77"/>
    <w:rsid w:val="00E97D21"/>
    <w:rsid w:val="00EA470F"/>
    <w:rsid w:val="00EB0DE2"/>
    <w:rsid w:val="00EB1420"/>
    <w:rsid w:val="00EB171D"/>
    <w:rsid w:val="00EB2A71"/>
    <w:rsid w:val="00EB3C22"/>
    <w:rsid w:val="00EB483D"/>
    <w:rsid w:val="00EB4D93"/>
    <w:rsid w:val="00EB4F11"/>
    <w:rsid w:val="00EB7851"/>
    <w:rsid w:val="00ED0CA7"/>
    <w:rsid w:val="00ED25BE"/>
    <w:rsid w:val="00ED2BD9"/>
    <w:rsid w:val="00ED3BF8"/>
    <w:rsid w:val="00ED7181"/>
    <w:rsid w:val="00EE7659"/>
    <w:rsid w:val="00EF0530"/>
    <w:rsid w:val="00EF2479"/>
    <w:rsid w:val="00EF4789"/>
    <w:rsid w:val="00EF76CA"/>
    <w:rsid w:val="00F017FA"/>
    <w:rsid w:val="00F01B3D"/>
    <w:rsid w:val="00F04263"/>
    <w:rsid w:val="00F15907"/>
    <w:rsid w:val="00F15A41"/>
    <w:rsid w:val="00F16FF3"/>
    <w:rsid w:val="00F174A9"/>
    <w:rsid w:val="00F25289"/>
    <w:rsid w:val="00F2563B"/>
    <w:rsid w:val="00F262C2"/>
    <w:rsid w:val="00F26BDC"/>
    <w:rsid w:val="00F2741E"/>
    <w:rsid w:val="00F2796E"/>
    <w:rsid w:val="00F27A6A"/>
    <w:rsid w:val="00F27D7B"/>
    <w:rsid w:val="00F33244"/>
    <w:rsid w:val="00F33D6A"/>
    <w:rsid w:val="00F36118"/>
    <w:rsid w:val="00F37BCA"/>
    <w:rsid w:val="00F420D3"/>
    <w:rsid w:val="00F42B53"/>
    <w:rsid w:val="00F44265"/>
    <w:rsid w:val="00F44CC3"/>
    <w:rsid w:val="00F44FAC"/>
    <w:rsid w:val="00F45BD5"/>
    <w:rsid w:val="00F51DF6"/>
    <w:rsid w:val="00F55E9F"/>
    <w:rsid w:val="00F56531"/>
    <w:rsid w:val="00F60CB4"/>
    <w:rsid w:val="00F61944"/>
    <w:rsid w:val="00F634A7"/>
    <w:rsid w:val="00F63779"/>
    <w:rsid w:val="00F7168A"/>
    <w:rsid w:val="00F725F4"/>
    <w:rsid w:val="00F73226"/>
    <w:rsid w:val="00F746A7"/>
    <w:rsid w:val="00F7621C"/>
    <w:rsid w:val="00F76D61"/>
    <w:rsid w:val="00F802C7"/>
    <w:rsid w:val="00F829F6"/>
    <w:rsid w:val="00F83B76"/>
    <w:rsid w:val="00F83E7D"/>
    <w:rsid w:val="00F844AC"/>
    <w:rsid w:val="00F85EB6"/>
    <w:rsid w:val="00F86BC4"/>
    <w:rsid w:val="00F90A04"/>
    <w:rsid w:val="00F914B4"/>
    <w:rsid w:val="00F92CB2"/>
    <w:rsid w:val="00F947D0"/>
    <w:rsid w:val="00FA055F"/>
    <w:rsid w:val="00FA1350"/>
    <w:rsid w:val="00FA1648"/>
    <w:rsid w:val="00FA332A"/>
    <w:rsid w:val="00FA4CFD"/>
    <w:rsid w:val="00FA5483"/>
    <w:rsid w:val="00FA7CE9"/>
    <w:rsid w:val="00FB0AF2"/>
    <w:rsid w:val="00FB17B3"/>
    <w:rsid w:val="00FB1975"/>
    <w:rsid w:val="00FB4246"/>
    <w:rsid w:val="00FB5FD8"/>
    <w:rsid w:val="00FC09E1"/>
    <w:rsid w:val="00FC1581"/>
    <w:rsid w:val="00FC79DD"/>
    <w:rsid w:val="00FD0228"/>
    <w:rsid w:val="00FD097E"/>
    <w:rsid w:val="00FD48D3"/>
    <w:rsid w:val="00FD5D13"/>
    <w:rsid w:val="00FD6D6D"/>
    <w:rsid w:val="00FD6EEB"/>
    <w:rsid w:val="00FD7871"/>
    <w:rsid w:val="00FE2CC7"/>
    <w:rsid w:val="00FE47A6"/>
    <w:rsid w:val="00FE6F18"/>
    <w:rsid w:val="00FE76AD"/>
    <w:rsid w:val="00FE7E87"/>
    <w:rsid w:val="00FF0034"/>
    <w:rsid w:val="00FF38C0"/>
    <w:rsid w:val="00FF41F5"/>
    <w:rsid w:val="00FF5E58"/>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70">
      <v:textbox inset="5.85pt,.7pt,5.85pt,.7pt"/>
    </o:shapedefaults>
    <o:shapelayout v:ext="edit">
      <o:idmap v:ext="edit" data="1,3,4,5,6"/>
      <o:regrouptable v:ext="edit">
        <o:entry new="1" old="0"/>
        <o:entry new="2" old="1"/>
        <o:entry new="3" old="0"/>
        <o:entry new="4" old="0"/>
        <o:entry new="5" old="0"/>
        <o:entry new="6" old="0"/>
        <o:entry new="7" old="6"/>
        <o:entry new="8" old="0"/>
        <o:entry new="9" old="0"/>
        <o:entry new="10" old="0"/>
        <o:entry new="11" old="10"/>
        <o:entry new="12" old="0"/>
        <o:entry new="13" old="0"/>
        <o:entry new="14" old="0"/>
        <o:entry new="15" old="0"/>
        <o:entry new="16" old="15"/>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33"/>
        <o:entry new="35" old="33"/>
        <o:entry new="36" old="33"/>
        <o:entry new="37" old="33"/>
        <o:entry new="38" old="33"/>
        <o:entry new="39" old="33"/>
        <o:entry new="40" old="36"/>
        <o:entry new="41" old="0"/>
        <o:entry new="42" old="0"/>
        <o:entry new="43" old="0"/>
        <o:entry new="44" old="0"/>
        <o:entry new="45" old="0"/>
        <o:entry new="46" old="0"/>
        <o:entry new="47" old="0"/>
        <o:entry new="48" old="0"/>
        <o:entry new="49" old="0"/>
        <o:entry new="50" old="0"/>
        <o:entry new="51" old="0"/>
        <o:entry new="52" old="0"/>
        <o:entry new="53" old="52"/>
        <o:entry new="54" old="0"/>
        <o:entry new="55" old="0"/>
        <o:entry new="56" old="0"/>
        <o:entry new="57" old="0"/>
        <o:entry new="58" old="0"/>
        <o:entry new="59" old="0"/>
        <o:entry new="60" old="0"/>
        <o:entry new="61" old="58"/>
        <o:entry new="62" old="0"/>
        <o:entry new="63" old="0"/>
        <o:entry new="64" old="0"/>
        <o:entry new="65" old="64"/>
        <o:entry new="66" old="65"/>
        <o:entry new="67" old="65"/>
        <o:entry new="68" old="0"/>
        <o:entry new="69" old="0"/>
        <o:entry new="70" old="0"/>
        <o:entry new="71" old="70"/>
        <o:entry new="72" old="0"/>
        <o:entry new="73" old="0"/>
        <o:entry new="74" old="0"/>
        <o:entry new="75" old="0"/>
        <o:entry new="76" old="0"/>
        <o:entry new="77" old="0"/>
        <o:entry new="78" old="0"/>
        <o:entry new="79" old="0"/>
        <o:entry new="80" old="0"/>
        <o:entry new="81" old="0"/>
        <o:entry new="82" old="0"/>
        <o:entry new="8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267">
    <w:lsdException w:name="heading 3" w:qFormat="1"/>
    <w:lsdException w:name="heading 4" w:qFormat="1"/>
    <w:lsdException w:name="footnote text" w:uiPriority="99"/>
    <w:lsdException w:name="caption" w:uiPriority="35"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834C54"/>
    <w:pPr>
      <w:jc w:val="center"/>
    </w:pPr>
    <w:rPr>
      <w:lang w:eastAsia="en-US" w:bidi="ar-SA"/>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outlineLvl w:val="3"/>
    </w:pPr>
    <w:rPr>
      <w:b/>
      <w:bCs/>
      <w:color w:val="000000"/>
      <w:sz w:val="16"/>
      <w:szCs w:val="16"/>
    </w:rPr>
  </w:style>
  <w:style w:type="paragraph" w:styleId="5">
    <w:name w:val="heading 5"/>
    <w:basedOn w:val="a"/>
    <w:next w:val="a"/>
    <w:pPr>
      <w:keepNext/>
      <w:spacing w:beforeLines="60" w:afterLines="60"/>
      <w:ind w:firstLineChars="200" w:firstLine="482"/>
      <w:outlineLvl w:val="4"/>
    </w:pPr>
    <w:rPr>
      <w:b/>
      <w:bCs/>
      <w:sz w:val="24"/>
    </w:rPr>
  </w:style>
  <w:style w:type="paragraph" w:styleId="6">
    <w:name w:val="heading 6"/>
    <w:basedOn w:val="a"/>
    <w:next w:val="a"/>
    <w:pPr>
      <w:spacing w:before="240" w:after="60"/>
      <w:outlineLvl w:val="5"/>
    </w:pPr>
    <w:rPr>
      <w:rFonts w:ascii="Arial" w:hAnsi="Arial"/>
      <w:i/>
      <w:sz w:val="22"/>
    </w:rPr>
  </w:style>
  <w:style w:type="paragraph" w:styleId="7">
    <w:name w:val="heading 7"/>
    <w:basedOn w:val="a"/>
    <w:next w:val="a"/>
    <w:pPr>
      <w:spacing w:before="240" w:after="60"/>
      <w:outlineLvl w:val="6"/>
    </w:pPr>
    <w:rPr>
      <w:rFonts w:ascii="Arial" w:hAnsi="Arial"/>
      <w:sz w:val="18"/>
    </w:rPr>
  </w:style>
  <w:style w:type="paragraph" w:styleId="8">
    <w:name w:val="heading 8"/>
    <w:basedOn w:val="a"/>
    <w:next w:val="a"/>
    <w:pPr>
      <w:spacing w:before="240" w:after="60"/>
      <w:outlineLvl w:val="7"/>
    </w:pPr>
    <w:rPr>
      <w:rFonts w:ascii="Arial" w:hAnsi="Arial"/>
      <w:i/>
      <w:sz w:val="18"/>
    </w:rPr>
  </w:style>
  <w:style w:type="paragraph" w:styleId="9">
    <w:name w:val="heading 9"/>
    <w:basedOn w:val="a"/>
    <w:next w:val="a"/>
    <w:pPr>
      <w:spacing w:before="240" w:after="60"/>
      <w:outlineLvl w:val="8"/>
    </w:pPr>
    <w:rPr>
      <w:rFonts w:ascii="Arial" w:hAnsi="Arial"/>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rsid w:val="00D63B25"/>
    <w:rPr>
      <w:rFonts w:eastAsia="宋体"/>
      <w:b/>
      <w:bCs/>
      <w:kern w:val="44"/>
      <w:sz w:val="44"/>
      <w:szCs w:val="44"/>
      <w:lang w:val="en-US" w:eastAsia="en-US" w:bidi="ar-SA"/>
    </w:rPr>
  </w:style>
  <w:style w:type="paragraph" w:styleId="a3">
    <w:name w:val="header"/>
    <w:basedOn w:val="a"/>
    <w:link w:val="Char"/>
    <w:pPr>
      <w:pBdr>
        <w:bottom w:val="single" w:sz="4" w:space="1" w:color="auto"/>
      </w:pBdr>
      <w:tabs>
        <w:tab w:val="center" w:pos="4153"/>
        <w:tab w:val="right" w:pos="8306"/>
      </w:tabs>
      <w:snapToGrid w:val="0"/>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Title"/>
    <w:basedOn w:val="a"/>
    <w:link w:val="Char0"/>
    <w:pPr>
      <w:autoSpaceDE w:val="0"/>
      <w:autoSpaceDN w:val="0"/>
      <w:adjustRightInd w:val="0"/>
    </w:pPr>
    <w:rPr>
      <w:b/>
      <w:bCs/>
      <w:sz w:val="28"/>
      <w:szCs w:val="28"/>
    </w:rPr>
  </w:style>
  <w:style w:type="character" w:customStyle="1" w:styleId="Char0">
    <w:name w:val="标题 Char"/>
    <w:basedOn w:val="a0"/>
    <w:link w:val="a6"/>
    <w:rsid w:val="00E37FEB"/>
    <w:rPr>
      <w:rFonts w:eastAsia="宋体"/>
      <w:b/>
      <w:bCs/>
      <w:sz w:val="28"/>
      <w:szCs w:val="28"/>
      <w:lang w:val="en-US" w:eastAsia="en-US" w:bidi="ar-SA"/>
    </w:rPr>
  </w:style>
  <w:style w:type="character" w:styleId="a7">
    <w:name w:val="Hyperlink"/>
    <w:basedOn w:val="a0"/>
    <w:rPr>
      <w:color w:val="0000FF"/>
      <w:u w:val="single"/>
    </w:rPr>
  </w:style>
  <w:style w:type="paragraph" w:styleId="20">
    <w:name w:val="Body Text 2"/>
    <w:basedOn w:val="a"/>
    <w:pPr>
      <w:autoSpaceDE w:val="0"/>
      <w:autoSpaceDN w:val="0"/>
      <w:adjustRightInd w:val="0"/>
      <w:spacing w:line="0" w:lineRule="atLeast"/>
    </w:pPr>
    <w:rPr>
      <w:sz w:val="18"/>
      <w:szCs w:val="18"/>
    </w:rPr>
  </w:style>
  <w:style w:type="paragraph" w:styleId="a8">
    <w:name w:val="footnote text"/>
    <w:basedOn w:val="a"/>
    <w:link w:val="Char1"/>
    <w:uiPriority w:val="99"/>
    <w:semiHidden/>
    <w:pPr>
      <w:snapToGrid w:val="0"/>
      <w:jc w:val="left"/>
    </w:pPr>
    <w:rPr>
      <w:sz w:val="18"/>
      <w:szCs w:val="18"/>
      <w:lang w:bidi="he-IL"/>
    </w:rPr>
  </w:style>
  <w:style w:type="character" w:styleId="a9">
    <w:name w:val="footnote reference"/>
    <w:basedOn w:val="a0"/>
    <w:semiHidden/>
    <w:rPr>
      <w:vertAlign w:val="superscript"/>
    </w:rPr>
  </w:style>
  <w:style w:type="paragraph" w:styleId="aa">
    <w:name w:val="Body Text Indent"/>
    <w:basedOn w:val="a"/>
    <w:pPr>
      <w:ind w:firstLine="360"/>
    </w:pPr>
    <w:rPr>
      <w:sz w:val="18"/>
    </w:rPr>
  </w:style>
  <w:style w:type="paragraph" w:customStyle="1" w:styleId="ym">
    <w:name w:val="ym"/>
    <w:basedOn w:val="a3"/>
    <w:rPr>
      <w:b/>
      <w:szCs w:val="30"/>
    </w:rPr>
  </w:style>
  <w:style w:type="paragraph" w:styleId="21">
    <w:name w:val="Body Text Indent 2"/>
    <w:basedOn w:val="a"/>
    <w:pPr>
      <w:ind w:firstLineChars="150" w:firstLine="315"/>
    </w:pPr>
    <w:rPr>
      <w:szCs w:val="21"/>
    </w:rPr>
  </w:style>
  <w:style w:type="paragraph" w:customStyle="1" w:styleId="References">
    <w:name w:val="References"/>
    <w:basedOn w:val="a"/>
    <w:pPr>
      <w:tabs>
        <w:tab w:val="num" w:pos="360"/>
      </w:tabs>
      <w:spacing w:after="80"/>
      <w:ind w:left="360" w:hanging="360"/>
      <w:jc w:val="left"/>
    </w:pPr>
    <w:rPr>
      <w:sz w:val="18"/>
    </w:rPr>
  </w:style>
  <w:style w:type="paragraph" w:styleId="30">
    <w:name w:val="Body Text Indent 3"/>
    <w:basedOn w:val="a"/>
    <w:pPr>
      <w:ind w:firstLineChars="208" w:firstLine="437"/>
    </w:pPr>
    <w:rPr>
      <w:szCs w:val="21"/>
    </w:rPr>
  </w:style>
  <w:style w:type="paragraph" w:styleId="ab">
    <w:name w:val="caption"/>
    <w:basedOn w:val="a"/>
    <w:next w:val="a"/>
    <w:uiPriority w:val="35"/>
    <w:qFormat/>
    <w:pPr>
      <w:spacing w:after="80"/>
    </w:pPr>
    <w:rPr>
      <w:rFonts w:cs="Miriam"/>
      <w:b/>
      <w:bCs/>
      <w:sz w:val="18"/>
      <w:szCs w:val="18"/>
      <w:lang w:eastAsia="en-AU"/>
    </w:rPr>
  </w:style>
  <w:style w:type="paragraph" w:customStyle="1" w:styleId="title">
    <w:name w:val="title"/>
    <w:basedOn w:val="a"/>
    <w:next w:val="author"/>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paragraph" w:customStyle="1" w:styleId="author">
    <w:name w:val="author"/>
    <w:basedOn w:val="a"/>
    <w:next w:val="authorinfo"/>
    <w:pPr>
      <w:overflowPunct w:val="0"/>
      <w:autoSpaceDE w:val="0"/>
      <w:autoSpaceDN w:val="0"/>
      <w:adjustRightInd w:val="0"/>
      <w:spacing w:after="220"/>
      <w:ind w:firstLine="227"/>
      <w:textAlignment w:val="baseline"/>
    </w:pPr>
    <w:rPr>
      <w:rFonts w:ascii="Times" w:hAnsi="Times"/>
    </w:rPr>
  </w:style>
  <w:style w:type="paragraph" w:customStyle="1" w:styleId="authorinfo">
    <w:name w:val="authorinfo"/>
    <w:basedOn w:val="a"/>
    <w:next w:val="email"/>
    <w:pPr>
      <w:overflowPunct w:val="0"/>
      <w:autoSpaceDE w:val="0"/>
      <w:autoSpaceDN w:val="0"/>
      <w:adjustRightInd w:val="0"/>
      <w:ind w:firstLine="227"/>
      <w:textAlignment w:val="baseline"/>
    </w:pPr>
    <w:rPr>
      <w:rFonts w:ascii="Times" w:hAnsi="Times"/>
      <w:sz w:val="18"/>
    </w:rPr>
  </w:style>
  <w:style w:type="paragraph" w:customStyle="1" w:styleId="email">
    <w:name w:val="email"/>
    <w:basedOn w:val="a"/>
    <w:next w:val="abstract"/>
    <w:pPr>
      <w:overflowPunct w:val="0"/>
      <w:autoSpaceDE w:val="0"/>
      <w:autoSpaceDN w:val="0"/>
      <w:adjustRightInd w:val="0"/>
      <w:ind w:firstLine="227"/>
      <w:textAlignment w:val="baseline"/>
    </w:pPr>
    <w:rPr>
      <w:rFonts w:ascii="Times" w:hAnsi="Times"/>
      <w:sz w:val="18"/>
    </w:rPr>
  </w:style>
  <w:style w:type="paragraph" w:customStyle="1" w:styleId="abstract">
    <w:name w:val="abstract"/>
    <w:basedOn w:val="p1a"/>
    <w:next w:val="heading1"/>
    <w:pPr>
      <w:spacing w:before="600" w:after="120"/>
      <w:ind w:left="567" w:right="567"/>
    </w:pPr>
    <w:rPr>
      <w:sz w:val="18"/>
    </w:rPr>
  </w:style>
  <w:style w:type="paragraph" w:customStyle="1" w:styleId="p1a">
    <w:name w:val="p1a"/>
    <w:basedOn w:val="a"/>
    <w:next w:val="a"/>
    <w:pPr>
      <w:overflowPunct w:val="0"/>
      <w:autoSpaceDE w:val="0"/>
      <w:autoSpaceDN w:val="0"/>
      <w:adjustRightInd w:val="0"/>
      <w:textAlignment w:val="baseline"/>
    </w:pPr>
    <w:rPr>
      <w:rFonts w:ascii="Times" w:hAnsi="Times"/>
    </w:rPr>
  </w:style>
  <w:style w:type="paragraph" w:customStyle="1" w:styleId="heading1">
    <w:name w:val="heading1"/>
    <w:basedOn w:val="a"/>
    <w:next w:val="p1a"/>
    <w:pPr>
      <w:keepNext/>
      <w:keepLines/>
      <w:tabs>
        <w:tab w:val="left" w:pos="454"/>
      </w:tabs>
      <w:suppressAutoHyphens/>
      <w:overflowPunct w:val="0"/>
      <w:autoSpaceDE w:val="0"/>
      <w:autoSpaceDN w:val="0"/>
      <w:adjustRightInd w:val="0"/>
      <w:spacing w:before="520" w:after="280"/>
      <w:textAlignment w:val="baseline"/>
    </w:pPr>
    <w:rPr>
      <w:rFonts w:ascii="Times" w:hAnsi="Times"/>
      <w:b/>
      <w:sz w:val="24"/>
    </w:rPr>
  </w:style>
  <w:style w:type="paragraph" w:customStyle="1" w:styleId="-1">
    <w:name w:val="标题-1"/>
    <w:basedOn w:val="a6"/>
    <w:link w:val="-1Char"/>
    <w:rsid w:val="00284B72"/>
    <w:pPr>
      <w:snapToGrid w:val="0"/>
      <w:spacing w:beforeLines="100" w:afterLines="100"/>
      <w:jc w:val="left"/>
    </w:pPr>
    <w:rPr>
      <w:rFonts w:eastAsia="Arial"/>
      <w:bCs w:val="0"/>
      <w:sz w:val="36"/>
      <w:szCs w:val="30"/>
    </w:rPr>
  </w:style>
  <w:style w:type="character" w:customStyle="1" w:styleId="-1Char">
    <w:name w:val="标题-1 Char"/>
    <w:basedOn w:val="Char0"/>
    <w:link w:val="-1"/>
    <w:rsid w:val="00284B72"/>
    <w:rPr>
      <w:rFonts w:eastAsia="Arial"/>
      <w:sz w:val="36"/>
      <w:szCs w:val="30"/>
    </w:rPr>
  </w:style>
  <w:style w:type="paragraph" w:customStyle="1" w:styleId="-10">
    <w:name w:val="作者-1"/>
    <w:basedOn w:val="a"/>
    <w:rsid w:val="00D150D9"/>
    <w:pPr>
      <w:autoSpaceDE w:val="0"/>
      <w:autoSpaceDN w:val="0"/>
      <w:jc w:val="left"/>
    </w:pPr>
    <w:rPr>
      <w:rFonts w:eastAsia="方正书宋繁体"/>
      <w:i/>
      <w:sz w:val="21"/>
    </w:rPr>
  </w:style>
  <w:style w:type="paragraph" w:customStyle="1" w:styleId="-11">
    <w:name w:val="正文-1"/>
    <w:basedOn w:val="a"/>
    <w:link w:val="-1Char0"/>
    <w:rsid w:val="00D150D9"/>
    <w:pPr>
      <w:ind w:firstLineChars="100" w:firstLine="100"/>
      <w:jc w:val="both"/>
    </w:pPr>
    <w:rPr>
      <w:rFonts w:eastAsia="Times New Roman"/>
      <w:sz w:val="21"/>
      <w:szCs w:val="18"/>
    </w:rPr>
  </w:style>
  <w:style w:type="character" w:customStyle="1" w:styleId="-1Char0">
    <w:name w:val="正文-1 Char"/>
    <w:basedOn w:val="a0"/>
    <w:link w:val="-11"/>
    <w:rsid w:val="00D150D9"/>
    <w:rPr>
      <w:sz w:val="21"/>
      <w:szCs w:val="18"/>
      <w:lang w:val="en-US" w:eastAsia="en-US" w:bidi="ar-SA"/>
    </w:rPr>
  </w:style>
  <w:style w:type="paragraph" w:customStyle="1" w:styleId="-12">
    <w:name w:val="摘要-1"/>
    <w:basedOn w:val="-11"/>
    <w:link w:val="-1Char1"/>
    <w:rsid w:val="00D150D9"/>
    <w:pPr>
      <w:adjustRightInd w:val="0"/>
      <w:snapToGrid w:val="0"/>
      <w:spacing w:line="288" w:lineRule="auto"/>
      <w:ind w:firstLineChars="0" w:firstLine="0"/>
    </w:pPr>
    <w:rPr>
      <w:bCs/>
    </w:rPr>
  </w:style>
  <w:style w:type="character" w:customStyle="1" w:styleId="-1Char1">
    <w:name w:val="摘要-1 Char"/>
    <w:basedOn w:val="-1Char0"/>
    <w:link w:val="-12"/>
    <w:rsid w:val="00D150D9"/>
    <w:rPr>
      <w:bCs/>
    </w:rPr>
  </w:style>
  <w:style w:type="paragraph" w:customStyle="1" w:styleId="-13">
    <w:name w:val="脚注-1"/>
    <w:basedOn w:val="a"/>
    <w:rsid w:val="00205D6C"/>
    <w:pPr>
      <w:framePr w:w="4664" w:h="717" w:hRule="exact" w:hSpace="187" w:wrap="around" w:vAnchor="page" w:hAnchor="page" w:x="1165" w:y="13685" w:anchorLock="1"/>
      <w:adjustRightInd w:val="0"/>
      <w:snapToGrid w:val="0"/>
      <w:jc w:val="both"/>
    </w:pPr>
    <w:rPr>
      <w:rFonts w:eastAsia="方正书宋繁体"/>
      <w:sz w:val="18"/>
      <w:szCs w:val="15"/>
    </w:rPr>
  </w:style>
  <w:style w:type="paragraph" w:customStyle="1" w:styleId="-14">
    <w:name w:val="标-1"/>
    <w:basedOn w:val="-11"/>
    <w:link w:val="-1CharChar"/>
    <w:uiPriority w:val="99"/>
    <w:rsid w:val="00FD5D13"/>
    <w:pPr>
      <w:spacing w:beforeLines="50" w:afterLines="50"/>
      <w:ind w:firstLineChars="0" w:firstLine="0"/>
    </w:pPr>
    <w:rPr>
      <w:b/>
      <w:sz w:val="24"/>
    </w:rPr>
  </w:style>
  <w:style w:type="paragraph" w:customStyle="1" w:styleId="-15">
    <w:name w:val="参考文献-1"/>
    <w:basedOn w:val="-11"/>
    <w:rsid w:val="00AC7C3E"/>
    <w:pPr>
      <w:adjustRightInd w:val="0"/>
      <w:snapToGrid w:val="0"/>
      <w:spacing w:line="288" w:lineRule="auto"/>
      <w:ind w:left="200" w:hangingChars="200" w:hanging="200"/>
    </w:pPr>
    <w:rPr>
      <w:sz w:val="18"/>
    </w:rPr>
  </w:style>
  <w:style w:type="paragraph" w:customStyle="1" w:styleId="-16">
    <w:name w:val="图表-1"/>
    <w:basedOn w:val="-11"/>
    <w:pPr>
      <w:ind w:firstLineChars="0" w:firstLine="0"/>
      <w:jc w:val="center"/>
    </w:pPr>
    <w:rPr>
      <w:b/>
      <w:sz w:val="18"/>
    </w:rPr>
  </w:style>
  <w:style w:type="paragraph" w:customStyle="1" w:styleId="equation">
    <w:name w:val="equation"/>
    <w:basedOn w:val="a"/>
    <w:next w:val="a"/>
    <w:pPr>
      <w:tabs>
        <w:tab w:val="left" w:pos="6237"/>
      </w:tabs>
      <w:overflowPunct w:val="0"/>
      <w:autoSpaceDE w:val="0"/>
      <w:autoSpaceDN w:val="0"/>
      <w:adjustRightInd w:val="0"/>
      <w:spacing w:before="120" w:after="120"/>
      <w:ind w:left="227" w:firstLine="227"/>
      <w:textAlignment w:val="baseline"/>
    </w:pPr>
    <w:rPr>
      <w:rFonts w:ascii="Times" w:hAnsi="Times"/>
    </w:rPr>
  </w:style>
  <w:style w:type="paragraph" w:customStyle="1" w:styleId="heading2">
    <w:name w:val="heading2"/>
    <w:basedOn w:val="a"/>
    <w:next w:val="p1a"/>
    <w:pPr>
      <w:keepNext/>
      <w:keepLines/>
      <w:tabs>
        <w:tab w:val="left" w:pos="510"/>
      </w:tabs>
      <w:suppressAutoHyphens/>
      <w:overflowPunct w:val="0"/>
      <w:autoSpaceDE w:val="0"/>
      <w:autoSpaceDN w:val="0"/>
      <w:adjustRightInd w:val="0"/>
      <w:spacing w:before="440" w:after="220"/>
      <w:textAlignment w:val="baseline"/>
    </w:pPr>
    <w:rPr>
      <w:rFonts w:ascii="Times" w:hAnsi="Times"/>
      <w:b/>
    </w:rPr>
  </w:style>
  <w:style w:type="paragraph" w:customStyle="1" w:styleId="figurelegend">
    <w:name w:val="figure legend"/>
    <w:basedOn w:val="a"/>
    <w:next w:val="a"/>
    <w:pPr>
      <w:keepNext/>
      <w:keepLines/>
      <w:overflowPunct w:val="0"/>
      <w:autoSpaceDE w:val="0"/>
      <w:autoSpaceDN w:val="0"/>
      <w:adjustRightInd w:val="0"/>
      <w:spacing w:before="120" w:after="240" w:line="220" w:lineRule="exact"/>
      <w:textAlignment w:val="baseline"/>
    </w:pPr>
    <w:rPr>
      <w:rFonts w:ascii="Times" w:hAnsi="Times"/>
      <w:sz w:val="18"/>
    </w:rPr>
  </w:style>
  <w:style w:type="paragraph" w:customStyle="1" w:styleId="programcode">
    <w:name w:val="programcode"/>
    <w:basedOn w:val="a"/>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rPr>
  </w:style>
  <w:style w:type="paragraph" w:customStyle="1" w:styleId="tabletitle">
    <w:name w:val="table title"/>
    <w:basedOn w:val="a"/>
    <w:next w:val="a"/>
    <w:pPr>
      <w:keepNext/>
      <w:keepLines/>
      <w:overflowPunct w:val="0"/>
      <w:autoSpaceDE w:val="0"/>
      <w:autoSpaceDN w:val="0"/>
      <w:adjustRightInd w:val="0"/>
      <w:spacing w:before="240" w:after="120" w:line="220" w:lineRule="exact"/>
      <w:textAlignment w:val="baseline"/>
    </w:pPr>
    <w:rPr>
      <w:rFonts w:ascii="Times" w:hAnsi="Times"/>
      <w:sz w:val="18"/>
      <w:lang w:val="de-DE"/>
    </w:rPr>
  </w:style>
  <w:style w:type="paragraph" w:customStyle="1" w:styleId="NumberedItem">
    <w:name w:val="Numbered Item"/>
    <w:basedOn w:val="Item"/>
  </w:style>
  <w:style w:type="paragraph" w:customStyle="1" w:styleId="Item">
    <w:name w:val="Item"/>
    <w:basedOn w:val="a"/>
    <w:next w:val="a"/>
    <w:pPr>
      <w:tabs>
        <w:tab w:val="left" w:pos="227"/>
        <w:tab w:val="left" w:pos="454"/>
      </w:tabs>
      <w:overflowPunct w:val="0"/>
      <w:autoSpaceDE w:val="0"/>
      <w:autoSpaceDN w:val="0"/>
      <w:adjustRightInd w:val="0"/>
      <w:ind w:left="227" w:hanging="227"/>
      <w:textAlignment w:val="baseline"/>
    </w:pPr>
    <w:rPr>
      <w:rFonts w:ascii="Times" w:hAnsi="Times"/>
    </w:rPr>
  </w:style>
  <w:style w:type="paragraph" w:customStyle="1" w:styleId="Runninghead-left">
    <w:name w:val="Running head - left"/>
    <w:basedOn w:val="a"/>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z w:val="18"/>
    </w:rPr>
  </w:style>
  <w:style w:type="paragraph" w:customStyle="1" w:styleId="Runninghead-right">
    <w:name w:val="Running head - right"/>
    <w:basedOn w:val="Runninghead-left"/>
    <w:pPr>
      <w:jc w:val="right"/>
    </w:pPr>
  </w:style>
  <w:style w:type="paragraph" w:customStyle="1" w:styleId="-17">
    <w:name w:val="页眉-1"/>
    <w:basedOn w:val="a3"/>
    <w:rPr>
      <w:b/>
    </w:rPr>
  </w:style>
  <w:style w:type="paragraph" w:styleId="ac">
    <w:name w:val="List Number"/>
    <w:basedOn w:val="a"/>
    <w:pPr>
      <w:tabs>
        <w:tab w:val="num" w:pos="360"/>
      </w:tabs>
      <w:ind w:left="360" w:hangingChars="200" w:hanging="360"/>
    </w:pPr>
    <w:rPr>
      <w:rFonts w:ascii="宋体"/>
      <w:spacing w:val="6"/>
      <w:sz w:val="24"/>
    </w:rPr>
  </w:style>
  <w:style w:type="paragraph" w:styleId="22">
    <w:name w:val="List Number 2"/>
    <w:basedOn w:val="a"/>
    <w:pPr>
      <w:tabs>
        <w:tab w:val="num" w:pos="780"/>
      </w:tabs>
      <w:ind w:leftChars="200" w:left="780" w:hangingChars="200" w:hanging="360"/>
    </w:pPr>
    <w:rPr>
      <w:rFonts w:ascii="宋体"/>
      <w:spacing w:val="6"/>
      <w:sz w:val="24"/>
    </w:rPr>
  </w:style>
  <w:style w:type="paragraph" w:styleId="31">
    <w:name w:val="List Number 3"/>
    <w:basedOn w:val="a"/>
    <w:pPr>
      <w:tabs>
        <w:tab w:val="num" w:pos="1200"/>
      </w:tabs>
      <w:ind w:leftChars="400" w:left="1200" w:hangingChars="200" w:hanging="360"/>
    </w:pPr>
    <w:rPr>
      <w:rFonts w:ascii="宋体"/>
      <w:spacing w:val="6"/>
      <w:sz w:val="24"/>
    </w:rPr>
  </w:style>
  <w:style w:type="paragraph" w:styleId="40">
    <w:name w:val="List Number 4"/>
    <w:basedOn w:val="a"/>
    <w:pPr>
      <w:tabs>
        <w:tab w:val="num" w:pos="1620"/>
      </w:tabs>
      <w:ind w:leftChars="600" w:left="1620" w:hangingChars="200" w:hanging="360"/>
    </w:pPr>
    <w:rPr>
      <w:rFonts w:ascii="宋体"/>
      <w:spacing w:val="6"/>
      <w:sz w:val="24"/>
    </w:rPr>
  </w:style>
  <w:style w:type="paragraph" w:styleId="50">
    <w:name w:val="List Number 5"/>
    <w:basedOn w:val="a"/>
    <w:pPr>
      <w:tabs>
        <w:tab w:val="num" w:pos="2040"/>
      </w:tabs>
      <w:ind w:leftChars="800" w:left="2040" w:hangingChars="200" w:hanging="360"/>
    </w:pPr>
    <w:rPr>
      <w:rFonts w:ascii="宋体"/>
      <w:spacing w:val="6"/>
      <w:sz w:val="24"/>
    </w:rPr>
  </w:style>
  <w:style w:type="paragraph" w:styleId="ad">
    <w:name w:val="List Bullet"/>
    <w:basedOn w:val="a"/>
    <w:autoRedefine/>
    <w:pPr>
      <w:tabs>
        <w:tab w:val="num" w:pos="360"/>
      </w:tabs>
      <w:ind w:left="360" w:hangingChars="200" w:hanging="360"/>
    </w:pPr>
    <w:rPr>
      <w:rFonts w:ascii="宋体"/>
      <w:spacing w:val="6"/>
      <w:sz w:val="24"/>
    </w:rPr>
  </w:style>
  <w:style w:type="paragraph" w:styleId="23">
    <w:name w:val="List Bullet 2"/>
    <w:basedOn w:val="a"/>
    <w:autoRedefine/>
    <w:pPr>
      <w:tabs>
        <w:tab w:val="num" w:pos="780"/>
      </w:tabs>
      <w:ind w:leftChars="200" w:left="780" w:hangingChars="200" w:hanging="360"/>
    </w:pPr>
    <w:rPr>
      <w:rFonts w:ascii="宋体"/>
      <w:spacing w:val="6"/>
      <w:sz w:val="24"/>
    </w:rPr>
  </w:style>
  <w:style w:type="paragraph" w:styleId="32">
    <w:name w:val="List Bullet 3"/>
    <w:basedOn w:val="a"/>
    <w:autoRedefine/>
    <w:pPr>
      <w:tabs>
        <w:tab w:val="num" w:pos="1200"/>
      </w:tabs>
      <w:ind w:leftChars="400" w:left="1200" w:hangingChars="200" w:hanging="360"/>
    </w:pPr>
    <w:rPr>
      <w:rFonts w:ascii="宋体"/>
      <w:spacing w:val="6"/>
      <w:sz w:val="24"/>
    </w:rPr>
  </w:style>
  <w:style w:type="paragraph" w:styleId="41">
    <w:name w:val="List Bullet 4"/>
    <w:basedOn w:val="a"/>
    <w:autoRedefine/>
    <w:pPr>
      <w:tabs>
        <w:tab w:val="num" w:pos="1620"/>
      </w:tabs>
      <w:ind w:leftChars="600" w:left="1620" w:hangingChars="200" w:hanging="360"/>
    </w:pPr>
    <w:rPr>
      <w:rFonts w:ascii="宋体"/>
      <w:spacing w:val="6"/>
      <w:sz w:val="24"/>
    </w:rPr>
  </w:style>
  <w:style w:type="paragraph" w:styleId="51">
    <w:name w:val="List Bullet 5"/>
    <w:basedOn w:val="a"/>
    <w:autoRedefine/>
    <w:pPr>
      <w:tabs>
        <w:tab w:val="num" w:pos="2040"/>
      </w:tabs>
      <w:ind w:leftChars="800" w:left="2040" w:hangingChars="200" w:hanging="360"/>
    </w:pPr>
    <w:rPr>
      <w:rFonts w:ascii="宋体"/>
      <w:spacing w:val="6"/>
      <w:sz w:val="24"/>
    </w:rPr>
  </w:style>
  <w:style w:type="paragraph" w:customStyle="1" w:styleId="ae">
    <w:name w:val="项目符号"/>
    <w:basedOn w:val="a"/>
    <w:pPr>
      <w:tabs>
        <w:tab w:val="num" w:pos="840"/>
      </w:tabs>
      <w:spacing w:line="400" w:lineRule="exact"/>
      <w:ind w:left="840" w:hanging="420"/>
    </w:pPr>
    <w:rPr>
      <w:sz w:val="24"/>
    </w:rPr>
  </w:style>
  <w:style w:type="paragraph" w:styleId="af">
    <w:name w:val="Body Text"/>
    <w:basedOn w:val="a"/>
    <w:rPr>
      <w:sz w:val="18"/>
    </w:rPr>
  </w:style>
  <w:style w:type="paragraph" w:customStyle="1" w:styleId="reference">
    <w:name w:val="reference"/>
    <w:basedOn w:val="a"/>
    <w:pPr>
      <w:overflowPunct w:val="0"/>
      <w:autoSpaceDE w:val="0"/>
      <w:autoSpaceDN w:val="0"/>
      <w:adjustRightInd w:val="0"/>
      <w:ind w:left="227" w:hanging="227"/>
      <w:textAlignment w:val="baseline"/>
    </w:pPr>
    <w:rPr>
      <w:rFonts w:ascii="Times" w:hAnsi="Times"/>
      <w:sz w:val="18"/>
    </w:rPr>
  </w:style>
  <w:style w:type="paragraph" w:styleId="33">
    <w:name w:val="Body Text 3"/>
    <w:basedOn w:val="a"/>
    <w:link w:val="3Char0"/>
    <w:pPr>
      <w:spacing w:line="180" w:lineRule="exact"/>
    </w:pPr>
    <w:rPr>
      <w:sz w:val="18"/>
    </w:rPr>
  </w:style>
  <w:style w:type="paragraph" w:customStyle="1" w:styleId="CAbstract">
    <w:name w:val="CAbstract"/>
    <w:basedOn w:val="a"/>
    <w:next w:val="CKeyWords"/>
    <w:link w:val="CAbstractChar"/>
    <w:pPr>
      <w:spacing w:beforeLines="50" w:afterLines="50"/>
      <w:ind w:left="284" w:rightChars="180" w:right="378"/>
    </w:pPr>
    <w:rPr>
      <w:sz w:val="18"/>
    </w:rPr>
  </w:style>
  <w:style w:type="paragraph" w:customStyle="1" w:styleId="CKeyWords">
    <w:name w:val="CKeyWords"/>
    <w:basedOn w:val="a"/>
    <w:next w:val="EnglishTitle"/>
    <w:pPr>
      <w:spacing w:beforeLines="50" w:afterLines="50"/>
      <w:ind w:leftChars="140" w:left="1257" w:rightChars="180" w:right="378" w:hangingChars="535" w:hanging="963"/>
    </w:pPr>
    <w:rPr>
      <w:sz w:val="18"/>
    </w:rPr>
  </w:style>
  <w:style w:type="paragraph" w:customStyle="1" w:styleId="EnglishTitle">
    <w:name w:val="English Title"/>
    <w:basedOn w:val="a"/>
    <w:next w:val="Author0"/>
    <w:pPr>
      <w:spacing w:beforeLines="250" w:afterLines="50"/>
    </w:pPr>
    <w:rPr>
      <w:rFonts w:ascii="Arial" w:hAnsi="Arial" w:cs="Arial"/>
      <w:sz w:val="44"/>
    </w:rPr>
  </w:style>
  <w:style w:type="paragraph" w:customStyle="1" w:styleId="Author0">
    <w:name w:val="Author"/>
    <w:basedOn w:val="a"/>
    <w:next w:val="Affiliation"/>
    <w:rPr>
      <w:sz w:val="28"/>
    </w:rPr>
  </w:style>
  <w:style w:type="paragraph" w:customStyle="1" w:styleId="Affiliation">
    <w:name w:val="Affiliation"/>
    <w:basedOn w:val="a"/>
    <w:next w:val="Abstract0"/>
    <w:pPr>
      <w:spacing w:beforeLines="100" w:afterLines="100"/>
    </w:pPr>
    <w:rPr>
      <w:sz w:val="15"/>
    </w:rPr>
  </w:style>
  <w:style w:type="paragraph" w:customStyle="1" w:styleId="Abstract0">
    <w:name w:val="Abstract"/>
    <w:basedOn w:val="a"/>
    <w:next w:val="keywords"/>
    <w:pPr>
      <w:tabs>
        <w:tab w:val="num" w:pos="1080"/>
      </w:tabs>
      <w:spacing w:beforeLines="50" w:afterLines="50"/>
    </w:pPr>
    <w:rPr>
      <w:rFonts w:cs="Arial"/>
      <w:sz w:val="18"/>
    </w:rPr>
  </w:style>
  <w:style w:type="paragraph" w:customStyle="1" w:styleId="keywords">
    <w:name w:val="key words"/>
    <w:basedOn w:val="a"/>
    <w:next w:val="a"/>
    <w:pPr>
      <w:tabs>
        <w:tab w:val="num" w:pos="1080"/>
      </w:tabs>
      <w:spacing w:beforeLines="50" w:afterLines="100"/>
      <w:ind w:left="360" w:hanging="360"/>
    </w:pPr>
    <w:rPr>
      <w:sz w:val="18"/>
    </w:rPr>
  </w:style>
  <w:style w:type="character" w:customStyle="1" w:styleId="CAbstractChar">
    <w:name w:val="CAbstract Char"/>
    <w:basedOn w:val="a0"/>
    <w:link w:val="CAbstract"/>
    <w:rsid w:val="00C96034"/>
    <w:rPr>
      <w:rFonts w:eastAsia="宋体"/>
      <w:sz w:val="18"/>
      <w:lang w:val="en-US" w:eastAsia="en-US" w:bidi="ar-SA"/>
    </w:rPr>
  </w:style>
  <w:style w:type="paragraph" w:customStyle="1" w:styleId="TableEHeading">
    <w:name w:val="TableEHeading"/>
    <w:basedOn w:val="a"/>
    <w:next w:val="a"/>
    <w:pPr>
      <w:spacing w:afterLines="50"/>
    </w:pPr>
    <w:rPr>
      <w:rFonts w:eastAsia="黑体"/>
      <w:b/>
      <w:bCs/>
      <w:sz w:val="18"/>
    </w:rPr>
  </w:style>
  <w:style w:type="paragraph" w:customStyle="1" w:styleId="TableCHeading">
    <w:name w:val="TableCHeading"/>
    <w:basedOn w:val="a"/>
    <w:next w:val="TableEHeading"/>
    <w:pPr>
      <w:spacing w:beforeLines="100"/>
    </w:pPr>
    <w:rPr>
      <w:rFonts w:eastAsia="黑体"/>
      <w:b/>
      <w:bCs/>
      <w:sz w:val="18"/>
    </w:rPr>
  </w:style>
  <w:style w:type="paragraph" w:customStyle="1" w:styleId="FigEHeading">
    <w:name w:val="FigEHeading"/>
    <w:basedOn w:val="a"/>
    <w:next w:val="a"/>
    <w:pPr>
      <w:spacing w:afterLines="50"/>
    </w:pPr>
    <w:rPr>
      <w:rFonts w:eastAsia="黑体"/>
      <w:b/>
      <w:bCs/>
      <w:sz w:val="18"/>
    </w:rPr>
  </w:style>
  <w:style w:type="paragraph" w:customStyle="1" w:styleId="FigCHeading">
    <w:name w:val="FigCHeading"/>
    <w:basedOn w:val="a"/>
    <w:next w:val="FigEHeading"/>
    <w:pPr>
      <w:spacing w:beforeLines="50"/>
    </w:pPr>
    <w:rPr>
      <w:rFonts w:eastAsia="黑体"/>
      <w:b/>
      <w:sz w:val="18"/>
    </w:rPr>
  </w:style>
  <w:style w:type="paragraph" w:customStyle="1" w:styleId="Reference0">
    <w:name w:val="Reference"/>
    <w:basedOn w:val="a"/>
    <w:pPr>
      <w:tabs>
        <w:tab w:val="num" w:pos="420"/>
      </w:tabs>
      <w:ind w:left="420" w:hanging="420"/>
    </w:pPr>
    <w:rPr>
      <w:sz w:val="15"/>
    </w:rPr>
  </w:style>
  <w:style w:type="paragraph" w:styleId="af0">
    <w:name w:val="endnote text"/>
    <w:basedOn w:val="a"/>
    <w:semiHidden/>
    <w:pPr>
      <w:snapToGrid w:val="0"/>
      <w:jc w:val="left"/>
    </w:pPr>
  </w:style>
  <w:style w:type="paragraph" w:styleId="af1">
    <w:name w:val="annotation text"/>
    <w:basedOn w:val="a"/>
    <w:link w:val="Char2"/>
    <w:semiHidden/>
    <w:pPr>
      <w:jc w:val="left"/>
    </w:pPr>
  </w:style>
  <w:style w:type="character" w:customStyle="1" w:styleId="Char2">
    <w:name w:val="批注文字 Char"/>
    <w:basedOn w:val="a0"/>
    <w:link w:val="af1"/>
    <w:rsid w:val="00D63B25"/>
    <w:rPr>
      <w:rFonts w:eastAsia="宋体"/>
      <w:lang w:val="en-US" w:eastAsia="en-US" w:bidi="ar-SA"/>
    </w:rPr>
  </w:style>
  <w:style w:type="paragraph" w:styleId="af2">
    <w:name w:val="annotation subject"/>
    <w:basedOn w:val="af1"/>
    <w:next w:val="af1"/>
    <w:semiHidden/>
    <w:rPr>
      <w:b/>
      <w:bCs/>
    </w:rPr>
  </w:style>
  <w:style w:type="paragraph" w:styleId="af3">
    <w:name w:val="Balloon Text"/>
    <w:basedOn w:val="a"/>
    <w:semiHidden/>
    <w:rPr>
      <w:sz w:val="18"/>
      <w:szCs w:val="18"/>
    </w:rPr>
  </w:style>
  <w:style w:type="character" w:styleId="af4">
    <w:name w:val="FollowedHyperlink"/>
    <w:basedOn w:val="a0"/>
    <w:rPr>
      <w:color w:val="800080"/>
      <w:u w:val="single"/>
    </w:rPr>
  </w:style>
  <w:style w:type="paragraph" w:customStyle="1" w:styleId="RefAcknowAppendixtitleoneline">
    <w:name w:val="Ref./Acknow./Appendix title (one line)"/>
    <w:basedOn w:val="1"/>
    <w:autoRedefine/>
    <w:pPr>
      <w:tabs>
        <w:tab w:val="left" w:pos="284"/>
        <w:tab w:val="left" w:pos="1134"/>
      </w:tabs>
      <w:suppressAutoHyphens/>
      <w:spacing w:before="0" w:after="180" w:line="240" w:lineRule="auto"/>
    </w:pPr>
    <w:rPr>
      <w:bCs w:val="0"/>
      <w:caps/>
      <w:kern w:val="0"/>
      <w:sz w:val="18"/>
      <w:szCs w:val="20"/>
      <w:lang w:val="en-GB"/>
    </w:rPr>
  </w:style>
  <w:style w:type="paragraph" w:customStyle="1" w:styleId="Listdash">
    <w:name w:val="List dash"/>
    <w:basedOn w:val="Listnumbers"/>
    <w:autoRedefine/>
    <w:pPr>
      <w:tabs>
        <w:tab w:val="clear" w:pos="420"/>
      </w:tabs>
      <w:ind w:left="697" w:hanging="340"/>
    </w:pPr>
  </w:style>
  <w:style w:type="paragraph" w:customStyle="1" w:styleId="Listnumbers">
    <w:name w:val="List numbers"/>
    <w:pPr>
      <w:tabs>
        <w:tab w:val="num" w:pos="420"/>
      </w:tabs>
      <w:suppressAutoHyphens/>
      <w:ind w:left="420" w:hanging="420"/>
      <w:jc w:val="both"/>
    </w:pPr>
    <w:rPr>
      <w:sz w:val="18"/>
      <w:lang w:val="en-GB" w:bidi="ar-SA"/>
    </w:rPr>
  </w:style>
  <w:style w:type="paragraph" w:customStyle="1" w:styleId="Listletters">
    <w:name w:val="List letters"/>
    <w:basedOn w:val="a"/>
    <w:pPr>
      <w:tabs>
        <w:tab w:val="num" w:pos="717"/>
      </w:tabs>
      <w:suppressAutoHyphens/>
      <w:ind w:left="360" w:hanging="3"/>
    </w:pPr>
    <w:rPr>
      <w:sz w:val="18"/>
      <w:lang w:val="en-GB"/>
    </w:rPr>
  </w:style>
  <w:style w:type="paragraph" w:customStyle="1" w:styleId="Listbullet">
    <w:name w:val="List bullet"/>
    <w:basedOn w:val="a"/>
    <w:autoRedefine/>
    <w:pPr>
      <w:suppressAutoHyphens/>
      <w:ind w:left="697" w:hanging="340"/>
    </w:pPr>
    <w:rPr>
      <w:color w:val="000000"/>
      <w:sz w:val="18"/>
      <w:lang w:val="en-GB"/>
    </w:rPr>
  </w:style>
  <w:style w:type="paragraph" w:customStyle="1" w:styleId="52">
    <w:name w:val="标题5"/>
    <w:basedOn w:val="a"/>
    <w:pPr>
      <w:tabs>
        <w:tab w:val="num" w:pos="845"/>
      </w:tabs>
      <w:ind w:left="845" w:hanging="425"/>
    </w:pPr>
  </w:style>
  <w:style w:type="paragraph" w:styleId="af5">
    <w:name w:val="Date"/>
    <w:basedOn w:val="a"/>
    <w:next w:val="a"/>
    <w:pPr>
      <w:ind w:leftChars="2500" w:left="100"/>
    </w:pPr>
    <w:rPr>
      <w:rFonts w:eastAsia="方正书宋繁体"/>
      <w:szCs w:val="18"/>
    </w:rPr>
  </w:style>
  <w:style w:type="paragraph" w:styleId="HTML">
    <w:name w:val="HTML Preformatted"/>
    <w:basedOn w:val="a"/>
    <w:rPr>
      <w:rFonts w:ascii="Courier New" w:hAnsi="Courier New" w:cs="Courier New"/>
    </w:rPr>
  </w:style>
  <w:style w:type="paragraph" w:customStyle="1" w:styleId="Pagenumber">
    <w:name w:val="Page number"/>
    <w:basedOn w:val="a"/>
    <w:rPr>
      <w:rFonts w:ascii="Times" w:hAnsi="Times"/>
    </w:rPr>
  </w:style>
  <w:style w:type="character" w:styleId="af6">
    <w:name w:val="Strong"/>
    <w:basedOn w:val="a0"/>
    <w:rPr>
      <w:b/>
      <w:bCs/>
    </w:rPr>
  </w:style>
  <w:style w:type="paragraph" w:styleId="af7">
    <w:name w:val="Plain Text"/>
    <w:basedOn w:val="a"/>
    <w:pPr>
      <w:jc w:val="left"/>
    </w:pPr>
    <w:rPr>
      <w:rFonts w:ascii="Courier New" w:hAnsi="Courier New" w:cs="Courier New"/>
    </w:rPr>
  </w:style>
  <w:style w:type="paragraph" w:styleId="af8">
    <w:name w:val="Block Text"/>
    <w:basedOn w:val="a"/>
    <w:pPr>
      <w:ind w:left="213" w:rightChars="-7" w:right="-15" w:hangingChars="100" w:hanging="213"/>
    </w:pPr>
  </w:style>
  <w:style w:type="paragraph" w:styleId="af9">
    <w:name w:val="Document Map"/>
    <w:basedOn w:val="a"/>
    <w:semiHidden/>
    <w:pPr>
      <w:shd w:val="clear" w:color="auto" w:fill="000080"/>
    </w:pPr>
  </w:style>
  <w:style w:type="character" w:customStyle="1" w:styleId="heading3CharChar">
    <w:name w:val="heading3 Char Char"/>
    <w:basedOn w:val="a0"/>
    <w:rPr>
      <w:rFonts w:ascii="Times" w:eastAsia="宋体" w:hAnsi="Times"/>
      <w:b/>
      <w:lang w:val="en-US" w:eastAsia="zh-CN" w:bidi="ar-SA"/>
    </w:rPr>
  </w:style>
  <w:style w:type="character" w:customStyle="1" w:styleId="heading3CharCharCharCharChar">
    <w:name w:val="heading3 Char Char Char Char Char"/>
    <w:basedOn w:val="a0"/>
    <w:rPr>
      <w:rFonts w:ascii="Times" w:eastAsia="宋体" w:hAnsi="Times"/>
      <w:b/>
      <w:lang w:val="en-US" w:eastAsia="zh-CN" w:bidi="ar-SA"/>
    </w:rPr>
  </w:style>
  <w:style w:type="character" w:customStyle="1" w:styleId="10">
    <w:name w:val="样式1"/>
    <w:basedOn w:val="a0"/>
    <w:rPr>
      <w:rFonts w:ascii="Times New Roman" w:eastAsia="宋体" w:hAnsi="Times New Roman"/>
      <w:sz w:val="21"/>
    </w:rPr>
  </w:style>
  <w:style w:type="paragraph" w:styleId="afa">
    <w:name w:val="Normal (Web)"/>
    <w:basedOn w:val="a"/>
    <w:uiPriority w:val="99"/>
    <w:pPr>
      <w:spacing w:before="100" w:beforeAutospacing="1" w:after="100" w:afterAutospacing="1"/>
      <w:jc w:val="left"/>
    </w:pPr>
    <w:rPr>
      <w:rFonts w:ascii="宋体" w:hAnsi="宋体"/>
      <w:sz w:val="24"/>
    </w:rPr>
  </w:style>
  <w:style w:type="character" w:customStyle="1" w:styleId="text1">
    <w:name w:val="text1"/>
    <w:basedOn w:val="a0"/>
    <w:rPr>
      <w:sz w:val="21"/>
      <w:szCs w:val="21"/>
    </w:rPr>
  </w:style>
  <w:style w:type="paragraph" w:customStyle="1" w:styleId="AbstractHeading">
    <w:name w:val="Abstract Heading"/>
    <w:basedOn w:val="a"/>
    <w:rPr>
      <w:b/>
      <w:bCs/>
      <w:sz w:val="22"/>
    </w:rPr>
  </w:style>
  <w:style w:type="paragraph" w:customStyle="1" w:styleId="AbstractBody">
    <w:name w:val="Abstract Body"/>
    <w:basedOn w:val="af"/>
    <w:pPr>
      <w:ind w:firstLine="360"/>
    </w:pPr>
    <w:rPr>
      <w:i/>
      <w:iCs/>
      <w:sz w:val="20"/>
    </w:rPr>
  </w:style>
  <w:style w:type="character" w:styleId="afb">
    <w:name w:val="Emphasis"/>
    <w:basedOn w:val="a0"/>
    <w:rPr>
      <w:i/>
      <w:iCs/>
    </w:rPr>
  </w:style>
  <w:style w:type="character" w:customStyle="1" w:styleId="h">
    <w:name w:val="h"/>
    <w:basedOn w:val="a0"/>
  </w:style>
  <w:style w:type="paragraph" w:customStyle="1" w:styleId="ArticleTitle">
    <w:name w:val="Article Title"/>
    <w:basedOn w:val="a"/>
    <w:pPr>
      <w:spacing w:before="60"/>
      <w:ind w:left="360"/>
      <w:jc w:val="left"/>
    </w:pPr>
  </w:style>
  <w:style w:type="paragraph" w:customStyle="1" w:styleId="BodyTextKeep">
    <w:name w:val="Body Text Keep"/>
    <w:basedOn w:val="a"/>
    <w:pPr>
      <w:keepNext/>
      <w:ind w:right="45"/>
    </w:pPr>
    <w:rPr>
      <w:sz w:val="18"/>
    </w:rPr>
  </w:style>
  <w:style w:type="paragraph" w:styleId="afc">
    <w:name w:val="Subtitle"/>
    <w:basedOn w:val="a"/>
    <w:pPr>
      <w:spacing w:beforeLines="150"/>
    </w:pPr>
    <w:rPr>
      <w:rFonts w:eastAsia="黑体"/>
      <w:b/>
      <w:bCs/>
      <w:sz w:val="36"/>
      <w:szCs w:val="36"/>
    </w:rPr>
  </w:style>
  <w:style w:type="paragraph" w:customStyle="1" w:styleId="afd">
    <w:name w:val="作者"/>
    <w:basedOn w:val="a"/>
    <w:rPr>
      <w:sz w:val="24"/>
    </w:rPr>
  </w:style>
  <w:style w:type="paragraph" w:customStyle="1" w:styleId="afe">
    <w:name w:val="单位"/>
    <w:basedOn w:val="af"/>
    <w:pPr>
      <w:tabs>
        <w:tab w:val="left" w:pos="420"/>
      </w:tabs>
      <w:adjustRightInd w:val="0"/>
      <w:textAlignment w:val="baseline"/>
    </w:pPr>
    <w:rPr>
      <w:rFonts w:eastAsia="仿宋_GB2312"/>
      <w:sz w:val="21"/>
      <w:szCs w:val="21"/>
    </w:rPr>
  </w:style>
  <w:style w:type="paragraph" w:customStyle="1" w:styleId="Email0">
    <w:name w:val="Email"/>
    <w:basedOn w:val="a3"/>
    <w:pPr>
      <w:pBdr>
        <w:bottom w:val="none" w:sz="0" w:space="0" w:color="auto"/>
      </w:pBdr>
      <w:tabs>
        <w:tab w:val="left" w:pos="420"/>
      </w:tabs>
      <w:snapToGrid/>
    </w:pPr>
    <w:rPr>
      <w:lang w:val="en-GB"/>
    </w:rPr>
  </w:style>
  <w:style w:type="paragraph" w:customStyle="1" w:styleId="Abstracttext">
    <w:name w:val="Abstract text"/>
    <w:basedOn w:val="af"/>
    <w:pPr>
      <w:keepNext/>
      <w:ind w:right="45" w:firstLineChars="200" w:firstLine="200"/>
    </w:pPr>
    <w:rPr>
      <w:sz w:val="20"/>
      <w:szCs w:val="18"/>
    </w:rPr>
  </w:style>
  <w:style w:type="paragraph" w:customStyle="1" w:styleId="AbstractHeading0">
    <w:name w:val="AbstractHeading"/>
    <w:basedOn w:val="a"/>
    <w:pPr>
      <w:spacing w:before="240" w:after="120"/>
    </w:pPr>
    <w:rPr>
      <w:b/>
      <w:bCs/>
      <w:szCs w:val="22"/>
    </w:rPr>
  </w:style>
  <w:style w:type="paragraph" w:customStyle="1" w:styleId="aff">
    <w:name w:val="参考文献"/>
    <w:basedOn w:val="a"/>
    <w:pPr>
      <w:tabs>
        <w:tab w:val="left" w:pos="315"/>
        <w:tab w:val="num" w:pos="360"/>
      </w:tabs>
      <w:adjustRightInd w:val="0"/>
      <w:ind w:left="340" w:hanging="340"/>
      <w:textAlignment w:val="baseline"/>
    </w:pPr>
    <w:rPr>
      <w:sz w:val="18"/>
      <w:szCs w:val="18"/>
    </w:rPr>
  </w:style>
  <w:style w:type="paragraph" w:customStyle="1" w:styleId="Title0">
    <w:name w:val="Title"/>
    <w:basedOn w:val="af"/>
    <w:autoRedefine/>
    <w:pPr>
      <w:adjustRightInd w:val="0"/>
      <w:spacing w:beforeLines="50" w:afterLines="50"/>
      <w:textAlignment w:val="baseline"/>
    </w:pPr>
    <w:rPr>
      <w:b/>
      <w:bCs/>
      <w:kern w:val="44"/>
      <w:sz w:val="32"/>
      <w:szCs w:val="36"/>
    </w:rPr>
  </w:style>
  <w:style w:type="paragraph" w:customStyle="1" w:styleId="11">
    <w:name w:val="样式 标题 1 + 小型大写字母"/>
    <w:basedOn w:val="1"/>
    <w:link w:val="1Char0"/>
    <w:autoRedefine/>
    <w:rsid w:val="0064232C"/>
    <w:pPr>
      <w:keepLines w:val="0"/>
      <w:tabs>
        <w:tab w:val="num" w:pos="0"/>
      </w:tabs>
      <w:spacing w:before="120" w:after="120" w:line="240" w:lineRule="auto"/>
    </w:pPr>
    <w:rPr>
      <w:rFonts w:eastAsia="Times New Roman"/>
      <w:smallCaps/>
      <w:kern w:val="36"/>
      <w:sz w:val="24"/>
      <w:szCs w:val="24"/>
    </w:rPr>
  </w:style>
  <w:style w:type="character" w:customStyle="1" w:styleId="1Char0">
    <w:name w:val="样式 标题 1 + 小型大写字母 Char"/>
    <w:basedOn w:val="a0"/>
    <w:link w:val="11"/>
    <w:rsid w:val="0064232C"/>
    <w:rPr>
      <w:b/>
      <w:bCs/>
      <w:smallCaps/>
      <w:kern w:val="36"/>
      <w:sz w:val="24"/>
      <w:szCs w:val="24"/>
      <w:lang w:val="en-US" w:eastAsia="zh-CN" w:bidi="ar-SA"/>
    </w:rPr>
  </w:style>
  <w:style w:type="paragraph" w:customStyle="1" w:styleId="24">
    <w:name w:val="样式 标题 2 + (中文) 宋体"/>
    <w:basedOn w:val="2"/>
    <w:link w:val="2Char"/>
    <w:autoRedefine/>
    <w:rsid w:val="0064232C"/>
    <w:pPr>
      <w:numPr>
        <w:ilvl w:val="1"/>
      </w:numPr>
      <w:tabs>
        <w:tab w:val="num" w:pos="567"/>
      </w:tabs>
      <w:spacing w:before="120" w:after="0" w:line="240" w:lineRule="auto"/>
      <w:ind w:left="567" w:hanging="567"/>
    </w:pPr>
    <w:rPr>
      <w:rFonts w:eastAsia="宋体"/>
      <w:b w:val="0"/>
      <w:i/>
      <w:sz w:val="22"/>
    </w:rPr>
  </w:style>
  <w:style w:type="character" w:customStyle="1" w:styleId="2Char">
    <w:name w:val="样式 标题 2 + (中文) 宋体 Char"/>
    <w:basedOn w:val="a0"/>
    <w:link w:val="24"/>
    <w:rsid w:val="0064232C"/>
    <w:rPr>
      <w:rFonts w:ascii="Arial" w:eastAsia="宋体" w:hAnsi="Arial"/>
      <w:bCs/>
      <w:i/>
      <w:kern w:val="2"/>
      <w:sz w:val="22"/>
      <w:szCs w:val="32"/>
      <w:lang w:val="en-US" w:eastAsia="zh-CN" w:bidi="ar-SA"/>
    </w:rPr>
  </w:style>
  <w:style w:type="paragraph" w:customStyle="1" w:styleId="bulletlist">
    <w:name w:val="bullet list"/>
    <w:basedOn w:val="af"/>
    <w:rsid w:val="00834C54"/>
    <w:pPr>
      <w:tabs>
        <w:tab w:val="num" w:pos="648"/>
      </w:tabs>
      <w:spacing w:after="120" w:line="228" w:lineRule="auto"/>
      <w:ind w:left="648" w:hanging="360"/>
    </w:pPr>
    <w:rPr>
      <w:spacing w:val="-1"/>
      <w:sz w:val="20"/>
    </w:rPr>
  </w:style>
  <w:style w:type="paragraph" w:customStyle="1" w:styleId="figurecaption">
    <w:name w:val="figure caption"/>
    <w:rsid w:val="00834C54"/>
    <w:pPr>
      <w:tabs>
        <w:tab w:val="num" w:pos="720"/>
      </w:tabs>
      <w:spacing w:before="80" w:after="200"/>
      <w:jc w:val="center"/>
    </w:pPr>
    <w:rPr>
      <w:noProof/>
      <w:sz w:val="16"/>
      <w:szCs w:val="16"/>
      <w:lang w:eastAsia="en-US" w:bidi="ar-SA"/>
    </w:rPr>
  </w:style>
  <w:style w:type="paragraph" w:customStyle="1" w:styleId="references0">
    <w:name w:val="references"/>
    <w:rsid w:val="00834C54"/>
    <w:pPr>
      <w:tabs>
        <w:tab w:val="num" w:pos="360"/>
      </w:tabs>
      <w:spacing w:after="50" w:line="180" w:lineRule="exact"/>
      <w:ind w:left="360" w:hanging="360"/>
      <w:jc w:val="both"/>
    </w:pPr>
    <w:rPr>
      <w:rFonts w:eastAsia="MS Mincho"/>
      <w:noProof/>
      <w:sz w:val="16"/>
      <w:szCs w:val="16"/>
      <w:lang w:eastAsia="en-US" w:bidi="ar-SA"/>
    </w:rPr>
  </w:style>
  <w:style w:type="paragraph" w:customStyle="1" w:styleId="tablecopy">
    <w:name w:val="table copy"/>
    <w:rsid w:val="00834C54"/>
    <w:pPr>
      <w:jc w:val="both"/>
    </w:pPr>
    <w:rPr>
      <w:noProof/>
      <w:sz w:val="16"/>
      <w:szCs w:val="16"/>
      <w:lang w:eastAsia="en-US" w:bidi="ar-SA"/>
    </w:rPr>
  </w:style>
  <w:style w:type="paragraph" w:customStyle="1" w:styleId="tablehead">
    <w:name w:val="table head"/>
    <w:rsid w:val="00834C54"/>
    <w:pPr>
      <w:tabs>
        <w:tab w:val="num" w:pos="1080"/>
      </w:tabs>
      <w:spacing w:before="240" w:after="120" w:line="216" w:lineRule="auto"/>
      <w:jc w:val="center"/>
    </w:pPr>
    <w:rPr>
      <w:smallCaps/>
      <w:noProof/>
      <w:sz w:val="16"/>
      <w:szCs w:val="16"/>
      <w:lang w:eastAsia="en-US" w:bidi="ar-SA"/>
    </w:rPr>
  </w:style>
  <w:style w:type="paragraph" w:customStyle="1" w:styleId="Default">
    <w:name w:val="Default"/>
    <w:rsid w:val="00834C54"/>
    <w:pPr>
      <w:widowControl w:val="0"/>
      <w:autoSpaceDE w:val="0"/>
      <w:autoSpaceDN w:val="0"/>
      <w:adjustRightInd w:val="0"/>
    </w:pPr>
    <w:rPr>
      <w:color w:val="000000"/>
      <w:sz w:val="24"/>
      <w:szCs w:val="24"/>
      <w:lang w:eastAsia="en-US" w:bidi="ar-SA"/>
    </w:rPr>
  </w:style>
  <w:style w:type="paragraph" w:customStyle="1" w:styleId="CM1">
    <w:name w:val="CM1"/>
    <w:basedOn w:val="Default"/>
    <w:next w:val="Default"/>
    <w:rsid w:val="00834C54"/>
    <w:pPr>
      <w:spacing w:line="236" w:lineRule="atLeast"/>
    </w:pPr>
    <w:rPr>
      <w:color w:val="auto"/>
      <w:sz w:val="20"/>
      <w:szCs w:val="20"/>
    </w:rPr>
  </w:style>
  <w:style w:type="paragraph" w:customStyle="1" w:styleId="Footnote">
    <w:name w:val="Footnote"/>
    <w:basedOn w:val="a"/>
    <w:rsid w:val="00834C54"/>
    <w:pPr>
      <w:jc w:val="both"/>
    </w:pPr>
    <w:rPr>
      <w:sz w:val="16"/>
      <w:szCs w:val="16"/>
    </w:rPr>
  </w:style>
  <w:style w:type="table" w:styleId="aff0">
    <w:name w:val="Table Grid"/>
    <w:basedOn w:val="a1"/>
    <w:uiPriority w:val="39"/>
    <w:rsid w:val="00662FF8"/>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item">
    <w:name w:val="referenceitem"/>
    <w:basedOn w:val="a"/>
    <w:rsid w:val="008E3A2F"/>
    <w:pPr>
      <w:ind w:left="227" w:hanging="227"/>
      <w:jc w:val="both"/>
    </w:pPr>
    <w:rPr>
      <w:rFonts w:ascii="Times" w:hAnsi="Times"/>
      <w:sz w:val="18"/>
      <w:lang w:eastAsia="zh-CN"/>
    </w:rPr>
  </w:style>
  <w:style w:type="character" w:customStyle="1" w:styleId="rwword1">
    <w:name w:val="rw_word1"/>
    <w:basedOn w:val="a0"/>
    <w:rsid w:val="005736C5"/>
    <w:rPr>
      <w:sz w:val="21"/>
      <w:szCs w:val="21"/>
    </w:rPr>
  </w:style>
  <w:style w:type="paragraph" w:customStyle="1" w:styleId="DepartCorrespond">
    <w:name w:val="Depart.Correspond"/>
    <w:basedOn w:val="a"/>
    <w:rsid w:val="0000353B"/>
    <w:pPr>
      <w:ind w:left="66" w:hangingChars="66" w:hanging="66"/>
      <w:jc w:val="both"/>
    </w:pPr>
    <w:rPr>
      <w:iCs/>
      <w:sz w:val="16"/>
      <w:lang w:eastAsia="zh-CN"/>
    </w:rPr>
  </w:style>
  <w:style w:type="paragraph" w:customStyle="1" w:styleId="Name">
    <w:name w:val="Name"/>
    <w:basedOn w:val="a"/>
    <w:next w:val="DepartCorrespond"/>
    <w:rsid w:val="0000353B"/>
    <w:pPr>
      <w:keepNext/>
      <w:widowControl w:val="0"/>
      <w:overflowPunct w:val="0"/>
      <w:spacing w:before="220" w:after="180" w:line="0" w:lineRule="atLeast"/>
      <w:jc w:val="left"/>
    </w:pPr>
    <w:rPr>
      <w:kern w:val="2"/>
      <w:sz w:val="18"/>
      <w:lang w:eastAsia="zh-CN"/>
    </w:rPr>
  </w:style>
  <w:style w:type="paragraph" w:customStyle="1" w:styleId="TextofReference">
    <w:name w:val="Text of Reference"/>
    <w:rsid w:val="0000353B"/>
    <w:pPr>
      <w:tabs>
        <w:tab w:val="num" w:pos="360"/>
      </w:tabs>
      <w:spacing w:line="260" w:lineRule="exact"/>
      <w:ind w:left="360" w:hanging="360"/>
      <w:jc w:val="both"/>
    </w:pPr>
    <w:rPr>
      <w:sz w:val="15"/>
      <w:lang w:bidi="ar-SA"/>
    </w:rPr>
  </w:style>
  <w:style w:type="character" w:styleId="aff1">
    <w:name w:val="endnote reference"/>
    <w:basedOn w:val="a0"/>
    <w:semiHidden/>
    <w:rsid w:val="001C0F9F"/>
    <w:rPr>
      <w:vertAlign w:val="superscript"/>
    </w:rPr>
  </w:style>
  <w:style w:type="paragraph" w:customStyle="1" w:styleId="-110">
    <w:name w:val="样式 正文-1 + 首行缩进:  1 字符"/>
    <w:basedOn w:val="-11"/>
    <w:rsid w:val="00D37811"/>
    <w:pPr>
      <w:ind w:firstLineChars="200" w:firstLine="200"/>
    </w:pPr>
    <w:rPr>
      <w:rFonts w:cs="宋体"/>
      <w:szCs w:val="20"/>
    </w:rPr>
  </w:style>
  <w:style w:type="paragraph" w:styleId="aff2">
    <w:name w:val="Normal Indent"/>
    <w:basedOn w:val="a"/>
    <w:rsid w:val="002A02D8"/>
    <w:pPr>
      <w:widowControl w:val="0"/>
      <w:ind w:firstLine="420"/>
      <w:jc w:val="both"/>
    </w:pPr>
    <w:rPr>
      <w:kern w:val="2"/>
      <w:sz w:val="21"/>
      <w:lang w:eastAsia="zh-CN"/>
    </w:rPr>
  </w:style>
  <w:style w:type="paragraph" w:styleId="aff3">
    <w:name w:val="Body Text First Indent"/>
    <w:basedOn w:val="af"/>
    <w:rsid w:val="00534493"/>
    <w:pPr>
      <w:spacing w:after="120"/>
      <w:ind w:firstLineChars="100" w:firstLine="420"/>
    </w:pPr>
    <w:rPr>
      <w:sz w:val="20"/>
    </w:rPr>
  </w:style>
  <w:style w:type="character" w:customStyle="1" w:styleId="MTEquationSection">
    <w:name w:val="MTEquationSection"/>
    <w:basedOn w:val="a0"/>
    <w:rsid w:val="00667D3E"/>
    <w:rPr>
      <w:rFonts w:eastAsia="黑体"/>
      <w:b/>
      <w:vanish/>
      <w:color w:val="FF0000"/>
      <w:sz w:val="28"/>
    </w:rPr>
  </w:style>
  <w:style w:type="paragraph" w:customStyle="1" w:styleId="MTDisplayEquation">
    <w:name w:val="MTDisplayEquation"/>
    <w:basedOn w:val="a"/>
    <w:next w:val="a"/>
    <w:rsid w:val="00667D3E"/>
    <w:pPr>
      <w:widowControl w:val="0"/>
      <w:tabs>
        <w:tab w:val="center" w:pos="4160"/>
        <w:tab w:val="right" w:pos="8300"/>
      </w:tabs>
      <w:spacing w:line="480" w:lineRule="auto"/>
      <w:jc w:val="both"/>
    </w:pPr>
    <w:rPr>
      <w:kern w:val="2"/>
      <w:sz w:val="21"/>
      <w:szCs w:val="21"/>
      <w:lang w:eastAsia="zh-CN"/>
    </w:rPr>
  </w:style>
  <w:style w:type="character" w:customStyle="1" w:styleId="CharChar">
    <w:name w:val=" Char Char"/>
    <w:basedOn w:val="a0"/>
    <w:rsid w:val="00667D3E"/>
    <w:rPr>
      <w:rFonts w:eastAsia="黑体"/>
      <w:b/>
      <w:kern w:val="2"/>
      <w:sz w:val="24"/>
      <w:szCs w:val="21"/>
      <w:lang w:val="en-US" w:eastAsia="zh-CN" w:bidi="ar-SA"/>
    </w:rPr>
  </w:style>
  <w:style w:type="character" w:customStyle="1" w:styleId="datatitle1">
    <w:name w:val="datatitle1"/>
    <w:basedOn w:val="a0"/>
    <w:rsid w:val="00D71299"/>
    <w:rPr>
      <w:b/>
      <w:bCs/>
      <w:color w:val="10619F"/>
      <w:sz w:val="21"/>
      <w:szCs w:val="21"/>
    </w:rPr>
  </w:style>
  <w:style w:type="character" w:customStyle="1" w:styleId="word">
    <w:name w:val="word"/>
    <w:basedOn w:val="a0"/>
    <w:rsid w:val="00D71299"/>
  </w:style>
  <w:style w:type="character" w:customStyle="1" w:styleId="apple-style-span">
    <w:name w:val="apple-style-span"/>
    <w:basedOn w:val="a0"/>
    <w:rsid w:val="00D71299"/>
  </w:style>
  <w:style w:type="character" w:styleId="aff4">
    <w:name w:val="annotation reference"/>
    <w:basedOn w:val="a0"/>
    <w:rsid w:val="004762CF"/>
    <w:rPr>
      <w:sz w:val="18"/>
      <w:szCs w:val="18"/>
    </w:rPr>
  </w:style>
  <w:style w:type="paragraph" w:customStyle="1" w:styleId="-2">
    <w:name w:val="标-2"/>
    <w:basedOn w:val="-11"/>
    <w:rsid w:val="00FD5D13"/>
    <w:pPr>
      <w:spacing w:beforeLines="50" w:afterLines="50"/>
      <w:ind w:firstLineChars="0" w:firstLine="0"/>
    </w:pPr>
    <w:rPr>
      <w:i/>
      <w:color w:val="000000"/>
      <w:kern w:val="2"/>
      <w:szCs w:val="21"/>
    </w:rPr>
  </w:style>
  <w:style w:type="paragraph" w:customStyle="1" w:styleId="CharCharCharCharCharCharCharCharChar1CharCharCharCharChar">
    <w:name w:val=" Char Char Char Char Char Char Char Char Char1 Char Char Char Char Char"/>
    <w:basedOn w:val="a"/>
    <w:rsid w:val="0074369C"/>
    <w:pPr>
      <w:widowControl w:val="0"/>
      <w:snapToGrid w:val="0"/>
      <w:spacing w:line="360" w:lineRule="auto"/>
      <w:ind w:firstLineChars="200" w:firstLine="200"/>
      <w:jc w:val="both"/>
    </w:pPr>
  </w:style>
  <w:style w:type="paragraph" w:styleId="aff5">
    <w:name w:val="List Paragraph"/>
    <w:basedOn w:val="a"/>
    <w:uiPriority w:val="34"/>
    <w:qFormat/>
    <w:rsid w:val="00E94454"/>
    <w:pPr>
      <w:spacing w:after="200" w:line="276" w:lineRule="auto"/>
      <w:ind w:left="720"/>
      <w:contextualSpacing/>
      <w:jc w:val="left"/>
    </w:pPr>
    <w:rPr>
      <w:rFonts w:ascii="Calibri" w:hAnsi="Calibri"/>
      <w:sz w:val="22"/>
      <w:szCs w:val="22"/>
      <w:lang w:val="cs-CZ"/>
    </w:rPr>
  </w:style>
  <w:style w:type="paragraph" w:customStyle="1" w:styleId="address-1">
    <w:name w:val="address-1"/>
    <w:basedOn w:val="-11"/>
    <w:qFormat/>
    <w:rsid w:val="00954433"/>
    <w:pPr>
      <w:ind w:firstLineChars="0" w:firstLine="0"/>
    </w:pPr>
    <w:rPr>
      <w:i/>
      <w:sz w:val="18"/>
    </w:rPr>
  </w:style>
  <w:style w:type="paragraph" w:customStyle="1" w:styleId="author-1">
    <w:name w:val="author-1"/>
    <w:basedOn w:val="-11"/>
    <w:qFormat/>
    <w:rsid w:val="00954433"/>
    <w:pPr>
      <w:ind w:firstLineChars="0" w:firstLine="0"/>
    </w:pPr>
  </w:style>
  <w:style w:type="paragraph" w:customStyle="1" w:styleId="abstract-1">
    <w:name w:val="abstract-1"/>
    <w:basedOn w:val="-12"/>
    <w:qFormat/>
    <w:rsid w:val="00954433"/>
    <w:rPr>
      <w:sz w:val="18"/>
    </w:rPr>
  </w:style>
  <w:style w:type="paragraph" w:customStyle="1" w:styleId="Title-1">
    <w:name w:val="Title-1"/>
    <w:basedOn w:val="-1"/>
    <w:qFormat/>
    <w:rsid w:val="00954433"/>
    <w:pPr>
      <w:snapToGrid/>
      <w:spacing w:before="312" w:after="312"/>
    </w:pPr>
    <w:rPr>
      <w:rFonts w:ascii="Arial" w:hAnsi="Arial" w:cs="Arial"/>
    </w:rPr>
  </w:style>
  <w:style w:type="paragraph" w:customStyle="1" w:styleId="Headline-1">
    <w:name w:val="Headline-1"/>
    <w:basedOn w:val="-14"/>
    <w:qFormat/>
    <w:rsid w:val="00954433"/>
    <w:pPr>
      <w:spacing w:before="156" w:after="156"/>
    </w:pPr>
  </w:style>
  <w:style w:type="paragraph" w:customStyle="1" w:styleId="text-1">
    <w:name w:val="text-1"/>
    <w:basedOn w:val="-11"/>
    <w:uiPriority w:val="99"/>
    <w:rsid w:val="00954433"/>
    <w:pPr>
      <w:ind w:firstLine="206"/>
    </w:pPr>
    <w:rPr>
      <w:spacing w:val="-2"/>
      <w:szCs w:val="21"/>
    </w:rPr>
  </w:style>
  <w:style w:type="paragraph" w:customStyle="1" w:styleId="Headlines-2">
    <w:name w:val="Headlines-2"/>
    <w:basedOn w:val="-11"/>
    <w:qFormat/>
    <w:rsid w:val="00954433"/>
    <w:pPr>
      <w:spacing w:beforeLines="50" w:afterLines="50"/>
      <w:ind w:firstLineChars="0" w:firstLine="0"/>
    </w:pPr>
    <w:rPr>
      <w:rFonts w:eastAsia="宋体"/>
      <w:i/>
      <w:lang w:eastAsia="zh-CN"/>
    </w:rPr>
  </w:style>
  <w:style w:type="paragraph" w:customStyle="1" w:styleId="Reference-1">
    <w:name w:val="Reference-1"/>
    <w:basedOn w:val="-15"/>
    <w:qFormat/>
    <w:rsid w:val="00954433"/>
    <w:pPr>
      <w:numPr>
        <w:numId w:val="1"/>
      </w:numPr>
      <w:ind w:firstLineChars="0"/>
    </w:pPr>
    <w:rPr>
      <w:lang w:eastAsia="zh-CN"/>
    </w:rPr>
  </w:style>
  <w:style w:type="paragraph" w:customStyle="1" w:styleId="CharChar9">
    <w:name w:val=" Char Char9"/>
    <w:basedOn w:val="a"/>
    <w:rsid w:val="00954433"/>
    <w:pPr>
      <w:spacing w:after="160" w:line="240" w:lineRule="exact"/>
      <w:jc w:val="left"/>
    </w:pPr>
    <w:rPr>
      <w:rFonts w:ascii="Arial" w:eastAsia="Times New Roman" w:hAnsi="Arial" w:cs="Verdana"/>
      <w:b/>
      <w:sz w:val="24"/>
      <w:szCs w:val="24"/>
    </w:rPr>
  </w:style>
  <w:style w:type="paragraph" w:customStyle="1" w:styleId="formula">
    <w:name w:val="formula"/>
    <w:basedOn w:val="a"/>
    <w:next w:val="a"/>
    <w:rsid w:val="00954433"/>
    <w:pPr>
      <w:tabs>
        <w:tab w:val="right" w:pos="8505"/>
      </w:tabs>
      <w:overflowPunct w:val="0"/>
      <w:autoSpaceDE w:val="0"/>
      <w:autoSpaceDN w:val="0"/>
      <w:adjustRightInd w:val="0"/>
      <w:spacing w:before="100" w:after="100"/>
      <w:ind w:left="851"/>
      <w:jc w:val="left"/>
      <w:textAlignment w:val="baseline"/>
    </w:pPr>
    <w:rPr>
      <w:sz w:val="22"/>
      <w:lang w:eastAsia="pt-PT"/>
    </w:rPr>
  </w:style>
  <w:style w:type="character" w:customStyle="1" w:styleId="smblacktext1">
    <w:name w:val="smblacktext1"/>
    <w:basedOn w:val="a0"/>
    <w:rsid w:val="00F725F4"/>
    <w:rPr>
      <w:rFonts w:ascii="Arial" w:hAnsi="Arial" w:cs="Arial" w:hint="default"/>
      <w:color w:val="000000"/>
      <w:sz w:val="17"/>
      <w:szCs w:val="17"/>
    </w:rPr>
  </w:style>
  <w:style w:type="paragraph" w:customStyle="1" w:styleId="text-2">
    <w:name w:val="text-2"/>
    <w:basedOn w:val="text-1"/>
    <w:qFormat/>
    <w:rsid w:val="00F725F4"/>
    <w:pPr>
      <w:ind w:firstLine="210"/>
    </w:pPr>
    <w:rPr>
      <w:spacing w:val="0"/>
      <w:lang w:val="en-GB" w:eastAsia="zh-CN"/>
    </w:rPr>
  </w:style>
  <w:style w:type="paragraph" w:customStyle="1" w:styleId="Figurephoto">
    <w:name w:val="Figure/photo"/>
    <w:basedOn w:val="Abstract0"/>
    <w:next w:val="figurecaption"/>
    <w:link w:val="FigurephotoCarattere"/>
    <w:rsid w:val="00F725F4"/>
    <w:pPr>
      <w:tabs>
        <w:tab w:val="clear" w:pos="1080"/>
      </w:tabs>
      <w:overflowPunct w:val="0"/>
      <w:autoSpaceDE w:val="0"/>
      <w:autoSpaceDN w:val="0"/>
      <w:adjustRightInd w:val="0"/>
      <w:spacing w:beforeLines="0" w:afterLines="0"/>
      <w:jc w:val="left"/>
      <w:textAlignment w:val="baseline"/>
    </w:pPr>
    <w:rPr>
      <w:rFonts w:cs="Times New Roman"/>
      <w:sz w:val="22"/>
      <w:lang w:eastAsia="pt-PT"/>
    </w:rPr>
  </w:style>
  <w:style w:type="character" w:customStyle="1" w:styleId="FigurephotoCarattere">
    <w:name w:val="Figure/photo Carattere"/>
    <w:basedOn w:val="a0"/>
    <w:link w:val="Figurephoto"/>
    <w:rsid w:val="00F725F4"/>
    <w:rPr>
      <w:sz w:val="22"/>
      <w:lang w:eastAsia="pt-PT"/>
    </w:rPr>
  </w:style>
  <w:style w:type="paragraph" w:customStyle="1" w:styleId="Heading-Secondary">
    <w:name w:val="Heading - Secondary"/>
    <w:basedOn w:val="2"/>
    <w:rsid w:val="00F725F4"/>
    <w:pPr>
      <w:suppressAutoHyphens/>
      <w:overflowPunct w:val="0"/>
      <w:autoSpaceDE w:val="0"/>
      <w:autoSpaceDN w:val="0"/>
      <w:adjustRightInd w:val="0"/>
      <w:spacing w:before="160" w:after="120" w:line="220" w:lineRule="exact"/>
      <w:jc w:val="left"/>
      <w:textAlignment w:val="baseline"/>
    </w:pPr>
    <w:rPr>
      <w:rFonts w:ascii="Century Gothic" w:eastAsia="MS Mincho" w:hAnsi="Century Gothic"/>
      <w:bCs w:val="0"/>
      <w:sz w:val="18"/>
      <w:szCs w:val="20"/>
      <w:lang w:val="en-GB" w:eastAsia="pt-PT"/>
    </w:rPr>
  </w:style>
  <w:style w:type="table" w:styleId="aff6">
    <w:name w:val="Table Theme"/>
    <w:basedOn w:val="a1"/>
    <w:rsid w:val="00E71E94"/>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C111A"/>
  </w:style>
  <w:style w:type="character" w:customStyle="1" w:styleId="hps">
    <w:name w:val="hps"/>
    <w:basedOn w:val="a0"/>
    <w:rsid w:val="001C111A"/>
  </w:style>
  <w:style w:type="character" w:customStyle="1" w:styleId="-1CharChar">
    <w:name w:val="标-1 Char Char"/>
    <w:basedOn w:val="-1Char0"/>
    <w:link w:val="-14"/>
    <w:uiPriority w:val="99"/>
    <w:rsid w:val="001C111A"/>
    <w:rPr>
      <w:rFonts w:eastAsia="Times New Roman"/>
      <w:b/>
      <w:sz w:val="24"/>
    </w:rPr>
  </w:style>
  <w:style w:type="paragraph" w:customStyle="1" w:styleId="-18">
    <w:name w:val="图表-1 + 左"/>
    <w:basedOn w:val="-16"/>
    <w:link w:val="-1Char2"/>
    <w:rsid w:val="000D2514"/>
    <w:pPr>
      <w:jc w:val="left"/>
    </w:pPr>
    <w:rPr>
      <w:rFonts w:cs="宋体"/>
      <w:bCs/>
      <w:szCs w:val="20"/>
    </w:rPr>
  </w:style>
  <w:style w:type="character" w:customStyle="1" w:styleId="-1Char2">
    <w:name w:val="图表-1 + 左 Char"/>
    <w:basedOn w:val="a0"/>
    <w:link w:val="-18"/>
    <w:rsid w:val="000D2514"/>
    <w:rPr>
      <w:rFonts w:eastAsia="Times New Roman" w:cs="宋体"/>
      <w:b/>
      <w:bCs/>
      <w:sz w:val="18"/>
      <w:lang w:eastAsia="en-US"/>
    </w:rPr>
  </w:style>
  <w:style w:type="character" w:customStyle="1" w:styleId="citation">
    <w:name w:val="citation"/>
    <w:basedOn w:val="a0"/>
    <w:rsid w:val="008C2EAC"/>
  </w:style>
  <w:style w:type="character" w:customStyle="1" w:styleId="3Char">
    <w:name w:val="标题 3 Char"/>
    <w:basedOn w:val="a0"/>
    <w:link w:val="3"/>
    <w:rsid w:val="00494AB0"/>
    <w:rPr>
      <w:b/>
      <w:bCs/>
      <w:sz w:val="32"/>
      <w:szCs w:val="32"/>
      <w:lang w:eastAsia="en-US"/>
    </w:rPr>
  </w:style>
  <w:style w:type="character" w:customStyle="1" w:styleId="4Char">
    <w:name w:val="标题 4 Char"/>
    <w:basedOn w:val="a0"/>
    <w:link w:val="4"/>
    <w:rsid w:val="00494AB0"/>
    <w:rPr>
      <w:b/>
      <w:bCs/>
      <w:color w:val="000000"/>
      <w:sz w:val="16"/>
      <w:szCs w:val="16"/>
      <w:lang w:eastAsia="en-US"/>
    </w:rPr>
  </w:style>
  <w:style w:type="character" w:customStyle="1" w:styleId="3Char0">
    <w:name w:val="正文文本 3 Char"/>
    <w:basedOn w:val="a0"/>
    <w:link w:val="33"/>
    <w:rsid w:val="00494AB0"/>
    <w:rPr>
      <w:sz w:val="18"/>
      <w:lang w:eastAsia="en-US"/>
    </w:rPr>
  </w:style>
  <w:style w:type="character" w:customStyle="1" w:styleId="Char">
    <w:name w:val="页眉 Char"/>
    <w:basedOn w:val="a0"/>
    <w:link w:val="a3"/>
    <w:rsid w:val="008B5E5B"/>
    <w:rPr>
      <w:sz w:val="18"/>
      <w:szCs w:val="18"/>
      <w:lang w:eastAsia="en-US"/>
    </w:rPr>
  </w:style>
  <w:style w:type="character" w:customStyle="1" w:styleId="Char1">
    <w:name w:val="脚注文本 Char"/>
    <w:link w:val="a8"/>
    <w:uiPriority w:val="99"/>
    <w:semiHidden/>
    <w:rsid w:val="008B5E5B"/>
    <w:rPr>
      <w:sz w:val="18"/>
      <w:szCs w:val="18"/>
      <w:lang w:eastAsia="en-US"/>
    </w:rPr>
  </w:style>
  <w:style w:type="table" w:customStyle="1" w:styleId="LightShading1">
    <w:name w:val="Light Shading1"/>
    <w:basedOn w:val="a1"/>
    <w:uiPriority w:val="60"/>
    <w:rsid w:val="008B5E5B"/>
    <w:rPr>
      <w:rFonts w:ascii="Calibri" w:eastAsia="Times New Roman" w:hAnsi="Calibri"/>
      <w:color w:val="000000"/>
      <w:lang w:val="pt-BR"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7">
    <w:name w:val="a"/>
    <w:basedOn w:val="a0"/>
    <w:rsid w:val="00C9533F"/>
  </w:style>
  <w:style w:type="paragraph" w:styleId="aff8">
    <w:name w:val="No Spacing"/>
    <w:uiPriority w:val="1"/>
    <w:qFormat/>
    <w:rsid w:val="00C9533F"/>
    <w:rPr>
      <w:rFonts w:ascii="Calibri" w:hAnsi="Calibri"/>
      <w:sz w:val="22"/>
      <w:szCs w:val="22"/>
      <w:lang w:val="en-GB" w:eastAsia="en-US" w:bidi="ar-SA"/>
    </w:rPr>
  </w:style>
  <w:style w:type="table" w:customStyle="1" w:styleId="PlainTable2">
    <w:name w:val="Plain Table 2"/>
    <w:basedOn w:val="a1"/>
    <w:uiPriority w:val="42"/>
    <w:rsid w:val="00F15A41"/>
    <w:rPr>
      <w:rFonts w:ascii="Calibri" w:hAnsi="Calibri" w:cs="Arial"/>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ls-1storder-head">
    <w:name w:val="Els-1storder-head"/>
    <w:next w:val="a"/>
    <w:rsid w:val="00907B2D"/>
    <w:pPr>
      <w:keepNext/>
      <w:numPr>
        <w:numId w:val="9"/>
      </w:numPr>
      <w:suppressAutoHyphens/>
      <w:spacing w:before="240" w:after="240" w:line="240" w:lineRule="exact"/>
    </w:pPr>
    <w:rPr>
      <w:b/>
      <w:lang w:eastAsia="en-US" w:bidi="ar-SA"/>
    </w:rPr>
  </w:style>
  <w:style w:type="paragraph" w:customStyle="1" w:styleId="Els-2ndorder-head">
    <w:name w:val="Els-2ndorder-head"/>
    <w:next w:val="a"/>
    <w:rsid w:val="00907B2D"/>
    <w:pPr>
      <w:keepNext/>
      <w:numPr>
        <w:ilvl w:val="1"/>
        <w:numId w:val="9"/>
      </w:numPr>
      <w:suppressAutoHyphens/>
      <w:spacing w:before="240" w:after="240" w:line="240" w:lineRule="exact"/>
    </w:pPr>
    <w:rPr>
      <w:i/>
      <w:lang w:eastAsia="en-US" w:bidi="ar-SA"/>
    </w:rPr>
  </w:style>
  <w:style w:type="paragraph" w:customStyle="1" w:styleId="Els-3rdorder-head">
    <w:name w:val="Els-3rdorder-head"/>
    <w:next w:val="a"/>
    <w:rsid w:val="00907B2D"/>
    <w:pPr>
      <w:keepNext/>
      <w:numPr>
        <w:ilvl w:val="2"/>
        <w:numId w:val="9"/>
      </w:numPr>
      <w:suppressAutoHyphens/>
      <w:spacing w:before="240" w:line="240" w:lineRule="exact"/>
    </w:pPr>
    <w:rPr>
      <w:i/>
      <w:lang w:eastAsia="en-US" w:bidi="ar-SA"/>
    </w:rPr>
  </w:style>
  <w:style w:type="paragraph" w:customStyle="1" w:styleId="Els-4thorder-head">
    <w:name w:val="Els-4thorder-head"/>
    <w:next w:val="a"/>
    <w:rsid w:val="00907B2D"/>
    <w:pPr>
      <w:keepNext/>
      <w:numPr>
        <w:ilvl w:val="3"/>
        <w:numId w:val="9"/>
      </w:numPr>
      <w:suppressAutoHyphens/>
      <w:spacing w:before="240" w:line="240" w:lineRule="exact"/>
    </w:pPr>
    <w:rPr>
      <w:i/>
      <w:lang w:eastAsia="en-US" w:bidi="ar-SA"/>
    </w:rPr>
  </w:style>
  <w:style w:type="paragraph" w:customStyle="1" w:styleId="Els-body-text">
    <w:name w:val="Els-body-text"/>
    <w:rsid w:val="00601738"/>
    <w:pPr>
      <w:spacing w:line="240" w:lineRule="exact"/>
      <w:ind w:firstLine="238"/>
      <w:jc w:val="both"/>
    </w:pPr>
    <w:rPr>
      <w:lang w:eastAsia="en-US" w:bidi="ar-SA"/>
    </w:rPr>
  </w:style>
</w:styles>
</file>

<file path=word/webSettings.xml><?xml version="1.0" encoding="utf-8"?>
<w:webSettings xmlns:r="http://schemas.openxmlformats.org/officeDocument/2006/relationships" xmlns:w="http://schemas.openxmlformats.org/wordprocessingml/2006/main">
  <w:divs>
    <w:div w:id="830676481">
      <w:bodyDiv w:val="1"/>
      <w:marLeft w:val="0"/>
      <w:marRight w:val="0"/>
      <w:marTop w:val="0"/>
      <w:marBottom w:val="0"/>
      <w:divBdr>
        <w:top w:val="none" w:sz="0" w:space="0" w:color="auto"/>
        <w:left w:val="none" w:sz="0" w:space="0" w:color="auto"/>
        <w:bottom w:val="none" w:sz="0" w:space="0" w:color="auto"/>
        <w:right w:val="none" w:sz="0" w:space="0" w:color="auto"/>
      </w:divBdr>
    </w:div>
    <w:div w:id="18443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9C6AA9-62AF-4F27-B8AB-6BA3D39B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11</Pages>
  <Words>4855</Words>
  <Characters>27679</Characters>
  <Application>Microsoft Office Word</Application>
  <DocSecurity>0</DocSecurity>
  <Lines>230</Lines>
  <Paragraphs>64</Paragraphs>
  <ScaleCrop>false</ScaleCrop>
  <Company/>
  <LinksUpToDate>false</LinksUpToDate>
  <CharactersWithSpaces>32470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Based Distributed Learning Platform</dc:title>
  <dc:subject/>
  <dc:creator>aa</dc:creator>
  <cp:keywords/>
  <dc:description/>
  <cp:lastModifiedBy>微软用户</cp:lastModifiedBy>
  <cp:revision>33</cp:revision>
  <cp:lastPrinted>2010-02-04T14:36:00Z</cp:lastPrinted>
  <dcterms:created xsi:type="dcterms:W3CDTF">2016-08-06T03:37:00Z</dcterms:created>
  <dcterms:modified xsi:type="dcterms:W3CDTF">2016-08-06T08:09:00Z</dcterms:modified>
</cp:coreProperties>
</file>