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45" w:rsidRDefault="00422F45" w:rsidP="0075469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22F45" w:rsidRDefault="00422F45" w:rsidP="0075469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22F45" w:rsidRDefault="00422F45" w:rsidP="0075469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22F45" w:rsidRDefault="00422F45" w:rsidP="0075469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22F45" w:rsidRDefault="00422F45" w:rsidP="0075469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22F45" w:rsidRDefault="00422F45" w:rsidP="0075469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B10FF" w:rsidRPr="0075469F" w:rsidRDefault="0075469F" w:rsidP="0075469F">
      <w:pPr>
        <w:spacing w:line="360" w:lineRule="auto"/>
        <w:ind w:firstLine="720"/>
        <w:jc w:val="both"/>
        <w:rPr>
          <w:b/>
          <w:sz w:val="28"/>
          <w:szCs w:val="28"/>
        </w:rPr>
      </w:pPr>
      <w:bookmarkStart w:id="0" w:name="_GoBack"/>
      <w:r w:rsidRPr="0075469F">
        <w:rPr>
          <w:b/>
          <w:sz w:val="28"/>
          <w:szCs w:val="28"/>
        </w:rPr>
        <w:t xml:space="preserve">PROVAS DE MESTRADO DE </w:t>
      </w:r>
      <w:r w:rsidR="000B10FF" w:rsidRPr="0075469F">
        <w:rPr>
          <w:b/>
          <w:sz w:val="28"/>
          <w:szCs w:val="28"/>
        </w:rPr>
        <w:t>RUI FILIPE FONTINHA VIEIRA</w:t>
      </w:r>
    </w:p>
    <w:p w:rsidR="000B10FF" w:rsidRPr="0075469F" w:rsidRDefault="000B10FF" w:rsidP="000B10F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B10FF" w:rsidRDefault="000B10FF" w:rsidP="000B10F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3A65">
        <w:rPr>
          <w:b/>
          <w:sz w:val="28"/>
          <w:szCs w:val="28"/>
        </w:rPr>
        <w:t>Intolerância contra Cristãos na Europa e Liberdade de Prose</w:t>
      </w:r>
      <w:r w:rsidR="0075469F">
        <w:rPr>
          <w:b/>
          <w:sz w:val="28"/>
          <w:szCs w:val="28"/>
        </w:rPr>
        <w:t>-</w:t>
      </w:r>
      <w:r w:rsidR="00422F45">
        <w:rPr>
          <w:b/>
          <w:sz w:val="28"/>
          <w:szCs w:val="28"/>
        </w:rPr>
        <w:t>litismo, hoje</w:t>
      </w:r>
    </w:p>
    <w:bookmarkEnd w:id="0"/>
    <w:p w:rsidR="00422F45" w:rsidRDefault="00422F45" w:rsidP="000B10F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22F45" w:rsidRDefault="00422F45" w:rsidP="000B10F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22F45" w:rsidRDefault="00422F45" w:rsidP="000B10F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22F45" w:rsidRPr="00422F45" w:rsidRDefault="00422F45" w:rsidP="00422F45">
      <w:pPr>
        <w:spacing w:line="360" w:lineRule="auto"/>
        <w:ind w:firstLine="3686"/>
        <w:jc w:val="both"/>
        <w:rPr>
          <w:sz w:val="28"/>
          <w:szCs w:val="28"/>
        </w:rPr>
      </w:pPr>
      <w:r w:rsidRPr="00422F45">
        <w:rPr>
          <w:sz w:val="28"/>
          <w:szCs w:val="28"/>
        </w:rPr>
        <w:t>Cristina M. M. Queiroz</w:t>
      </w:r>
    </w:p>
    <w:p w:rsidR="00422F45" w:rsidRDefault="00422F45" w:rsidP="000B10F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22F45" w:rsidRDefault="00422F45" w:rsidP="00422F45">
      <w:pPr>
        <w:tabs>
          <w:tab w:val="left" w:pos="1800"/>
        </w:tabs>
        <w:spacing w:line="360" w:lineRule="auto"/>
        <w:ind w:firstLine="1440"/>
        <w:jc w:val="both"/>
        <w:rPr>
          <w:sz w:val="28"/>
          <w:szCs w:val="28"/>
        </w:rPr>
      </w:pPr>
    </w:p>
    <w:p w:rsidR="00422F45" w:rsidRDefault="00422F45" w:rsidP="00422F45">
      <w:pPr>
        <w:tabs>
          <w:tab w:val="left" w:pos="1800"/>
        </w:tabs>
        <w:spacing w:line="360" w:lineRule="auto"/>
        <w:ind w:firstLine="1440"/>
        <w:jc w:val="both"/>
        <w:rPr>
          <w:sz w:val="28"/>
          <w:szCs w:val="28"/>
        </w:rPr>
      </w:pPr>
    </w:p>
    <w:p w:rsidR="00422F45" w:rsidRDefault="00422F45" w:rsidP="00422F45">
      <w:pPr>
        <w:tabs>
          <w:tab w:val="left" w:pos="1800"/>
        </w:tabs>
        <w:spacing w:line="360" w:lineRule="auto"/>
        <w:ind w:firstLine="1440"/>
        <w:jc w:val="both"/>
        <w:rPr>
          <w:sz w:val="28"/>
          <w:szCs w:val="28"/>
        </w:rPr>
      </w:pPr>
    </w:p>
    <w:p w:rsidR="00422F45" w:rsidRDefault="00422F45" w:rsidP="00422F45">
      <w:pPr>
        <w:tabs>
          <w:tab w:val="left" w:pos="1800"/>
        </w:tabs>
        <w:spacing w:line="360" w:lineRule="auto"/>
        <w:ind w:firstLine="1440"/>
        <w:jc w:val="both"/>
        <w:rPr>
          <w:sz w:val="28"/>
          <w:szCs w:val="28"/>
        </w:rPr>
      </w:pPr>
    </w:p>
    <w:p w:rsidR="00422F45" w:rsidRDefault="00422F45" w:rsidP="00422F45">
      <w:pPr>
        <w:tabs>
          <w:tab w:val="left" w:pos="1800"/>
        </w:tabs>
        <w:spacing w:line="360" w:lineRule="auto"/>
        <w:ind w:firstLine="1440"/>
        <w:jc w:val="both"/>
        <w:rPr>
          <w:sz w:val="28"/>
          <w:szCs w:val="28"/>
        </w:rPr>
      </w:pPr>
    </w:p>
    <w:p w:rsidR="00422F45" w:rsidRDefault="00422F45" w:rsidP="00422F45">
      <w:pPr>
        <w:tabs>
          <w:tab w:val="left" w:pos="1800"/>
        </w:tabs>
        <w:spacing w:line="360" w:lineRule="auto"/>
        <w:ind w:firstLine="1440"/>
        <w:jc w:val="both"/>
        <w:rPr>
          <w:sz w:val="28"/>
          <w:szCs w:val="28"/>
        </w:rPr>
      </w:pPr>
    </w:p>
    <w:p w:rsidR="00422F45" w:rsidRDefault="00422F45" w:rsidP="00422F45">
      <w:pPr>
        <w:tabs>
          <w:tab w:val="left" w:pos="1800"/>
        </w:tabs>
        <w:spacing w:line="360" w:lineRule="auto"/>
        <w:ind w:firstLine="1440"/>
        <w:jc w:val="both"/>
        <w:rPr>
          <w:sz w:val="28"/>
          <w:szCs w:val="28"/>
        </w:rPr>
      </w:pPr>
    </w:p>
    <w:p w:rsidR="00422F45" w:rsidRPr="00DE2EDB" w:rsidRDefault="00422F45" w:rsidP="00422F45">
      <w:pPr>
        <w:tabs>
          <w:tab w:val="left" w:pos="1800"/>
        </w:tabs>
        <w:spacing w:line="360" w:lineRule="auto"/>
        <w:ind w:firstLine="1440"/>
        <w:jc w:val="both"/>
        <w:rPr>
          <w:b/>
          <w:sz w:val="28"/>
          <w:szCs w:val="28"/>
        </w:rPr>
      </w:pPr>
      <w:r w:rsidRPr="00DE2EDB">
        <w:rPr>
          <w:b/>
          <w:sz w:val="28"/>
          <w:szCs w:val="28"/>
        </w:rPr>
        <w:t>Faculdade de Direito da Universidade do Porto</w:t>
      </w:r>
    </w:p>
    <w:p w:rsidR="00422F45" w:rsidRPr="00DE2EDB" w:rsidRDefault="00422F45" w:rsidP="00422F45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22F45" w:rsidRPr="00DE2EDB" w:rsidRDefault="00422F45" w:rsidP="00422F45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22F45" w:rsidRPr="00DE2EDB" w:rsidRDefault="00422F45" w:rsidP="00DE2EDB">
      <w:pPr>
        <w:tabs>
          <w:tab w:val="left" w:pos="3600"/>
        </w:tabs>
        <w:spacing w:line="360" w:lineRule="auto"/>
        <w:ind w:firstLine="3686"/>
        <w:jc w:val="both"/>
        <w:rPr>
          <w:b/>
          <w:sz w:val="28"/>
          <w:szCs w:val="28"/>
        </w:rPr>
      </w:pPr>
      <w:r w:rsidRPr="00DE2EDB">
        <w:rPr>
          <w:b/>
          <w:sz w:val="28"/>
          <w:szCs w:val="28"/>
        </w:rPr>
        <w:t>2012</w:t>
      </w:r>
    </w:p>
    <w:p w:rsidR="00422F45" w:rsidRPr="00723A65" w:rsidRDefault="00422F45" w:rsidP="000B10F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22F45" w:rsidRDefault="00422F4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B10FF" w:rsidRDefault="000B10FF" w:rsidP="000B10FF">
      <w:pPr>
        <w:spacing w:line="360" w:lineRule="auto"/>
        <w:ind w:firstLine="709"/>
        <w:jc w:val="both"/>
        <w:rPr>
          <w:sz w:val="28"/>
          <w:szCs w:val="28"/>
        </w:rPr>
      </w:pPr>
    </w:p>
    <w:p w:rsidR="00590603" w:rsidRPr="00723A65" w:rsidRDefault="00590603" w:rsidP="000B10FF">
      <w:pPr>
        <w:spacing w:line="360" w:lineRule="auto"/>
        <w:ind w:firstLine="709"/>
        <w:jc w:val="both"/>
        <w:rPr>
          <w:sz w:val="28"/>
          <w:szCs w:val="28"/>
        </w:rPr>
      </w:pPr>
    </w:p>
    <w:p w:rsidR="00247FC0" w:rsidRPr="00723A65" w:rsidRDefault="000B10FF" w:rsidP="00247FC0">
      <w:pPr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b/>
          <w:sz w:val="28"/>
          <w:szCs w:val="28"/>
        </w:rPr>
        <w:t>1.</w:t>
      </w:r>
      <w:r w:rsidRPr="00723A65">
        <w:rPr>
          <w:sz w:val="28"/>
          <w:szCs w:val="28"/>
        </w:rPr>
        <w:t xml:space="preserve"> Apresenta o Senhor licenciado </w:t>
      </w:r>
      <w:r w:rsidR="00247FC0" w:rsidRPr="00723A65">
        <w:rPr>
          <w:i/>
          <w:sz w:val="28"/>
          <w:szCs w:val="28"/>
        </w:rPr>
        <w:t xml:space="preserve">Rui Filipe Fontinha Vieira </w:t>
      </w:r>
      <w:r w:rsidR="00247FC0" w:rsidRPr="00723A65">
        <w:rPr>
          <w:sz w:val="28"/>
          <w:szCs w:val="28"/>
        </w:rPr>
        <w:t>uma dis</w:t>
      </w:r>
      <w:r w:rsidRPr="00723A65">
        <w:rPr>
          <w:sz w:val="28"/>
          <w:szCs w:val="28"/>
        </w:rPr>
        <w:t>sertação d</w:t>
      </w:r>
      <w:r w:rsidR="00247FC0" w:rsidRPr="00723A65">
        <w:rPr>
          <w:sz w:val="28"/>
          <w:szCs w:val="28"/>
        </w:rPr>
        <w:t>e Mestrado em Ciências Jurídico-Políticas,</w:t>
      </w:r>
      <w:r w:rsidRPr="00723A65">
        <w:rPr>
          <w:sz w:val="28"/>
          <w:szCs w:val="28"/>
        </w:rPr>
        <w:t xml:space="preserve"> intitulada “</w:t>
      </w:r>
      <w:r w:rsidR="00247FC0" w:rsidRPr="00723A65">
        <w:rPr>
          <w:sz w:val="28"/>
          <w:szCs w:val="28"/>
        </w:rPr>
        <w:t>Intole</w:t>
      </w:r>
      <w:r w:rsidR="0075469F">
        <w:rPr>
          <w:sz w:val="28"/>
          <w:szCs w:val="28"/>
        </w:rPr>
        <w:t>-</w:t>
      </w:r>
      <w:r w:rsidR="00247FC0" w:rsidRPr="00723A65">
        <w:rPr>
          <w:sz w:val="28"/>
          <w:szCs w:val="28"/>
        </w:rPr>
        <w:t>rância contra Cristãos na Europa e Liberdade de Proselitismo, hoje”.</w:t>
      </w:r>
    </w:p>
    <w:p w:rsidR="00247FC0" w:rsidRPr="00723A65" w:rsidRDefault="00247FC0" w:rsidP="000B10FF">
      <w:pPr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 xml:space="preserve">Segundo esclarece o candidato, o objecto da dissertação “pretende afirmar-se como </w:t>
      </w:r>
      <w:r w:rsidR="00BE69D0" w:rsidRPr="00723A65">
        <w:rPr>
          <w:sz w:val="28"/>
          <w:szCs w:val="28"/>
        </w:rPr>
        <w:t>uma tentativa de clarificação de</w:t>
      </w:r>
      <w:r w:rsidRPr="00723A65">
        <w:rPr>
          <w:sz w:val="28"/>
          <w:szCs w:val="28"/>
        </w:rPr>
        <w:t xml:space="preserve"> alguns aspectos da </w:t>
      </w:r>
      <w:r w:rsidRPr="00723A65">
        <w:rPr>
          <w:i/>
          <w:sz w:val="28"/>
          <w:szCs w:val="28"/>
        </w:rPr>
        <w:t>liberdade religiosa</w:t>
      </w:r>
      <w:r w:rsidRPr="00723A65">
        <w:rPr>
          <w:sz w:val="28"/>
          <w:szCs w:val="28"/>
        </w:rPr>
        <w:t>”</w:t>
      </w:r>
      <w:r w:rsidR="00DE2EDB" w:rsidRPr="00DE2EDB">
        <w:rPr>
          <w:rStyle w:val="Refdenotaderodap"/>
          <w:rFonts w:eastAsiaTheme="majorEastAsia"/>
          <w:sz w:val="28"/>
          <w:szCs w:val="28"/>
        </w:rPr>
        <w:t xml:space="preserve"> </w:t>
      </w:r>
      <w:r w:rsidR="00DE2EDB" w:rsidRPr="00723A65">
        <w:rPr>
          <w:rStyle w:val="Refdenotaderodap"/>
          <w:rFonts w:eastAsiaTheme="majorEastAsia"/>
          <w:sz w:val="28"/>
          <w:szCs w:val="28"/>
        </w:rPr>
        <w:footnoteReference w:id="1"/>
      </w:r>
      <w:r w:rsidR="00DE2EDB" w:rsidRPr="00723A65">
        <w:rPr>
          <w:sz w:val="28"/>
          <w:szCs w:val="28"/>
        </w:rPr>
        <w:t>.</w:t>
      </w:r>
    </w:p>
    <w:p w:rsidR="00935FC6" w:rsidRPr="00723A65" w:rsidRDefault="00935FC6" w:rsidP="00935FC6">
      <w:pPr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>Esclarece, ainda, e este parece ser o ponto central da sua dissertação, que os problemas relacionados com a “intolerância contra os cristãos na Europa” relevam</w:t>
      </w:r>
      <w:r w:rsidR="0075469F">
        <w:rPr>
          <w:sz w:val="28"/>
          <w:szCs w:val="28"/>
        </w:rPr>
        <w:t>, parti</w:t>
      </w:r>
      <w:r w:rsidR="00241AA8" w:rsidRPr="00723A65">
        <w:rPr>
          <w:sz w:val="28"/>
          <w:szCs w:val="28"/>
        </w:rPr>
        <w:t>cularmente,</w:t>
      </w:r>
      <w:r w:rsidRPr="00723A65">
        <w:rPr>
          <w:sz w:val="28"/>
          <w:szCs w:val="28"/>
        </w:rPr>
        <w:t xml:space="preserve"> quant</w:t>
      </w:r>
      <w:r w:rsidR="0075469F">
        <w:rPr>
          <w:sz w:val="28"/>
          <w:szCs w:val="28"/>
        </w:rPr>
        <w:t>o à determinação da liberdade de</w:t>
      </w:r>
      <w:r w:rsidRPr="00723A65">
        <w:rPr>
          <w:sz w:val="28"/>
          <w:szCs w:val="28"/>
        </w:rPr>
        <w:t xml:space="preserve"> </w:t>
      </w:r>
      <w:r w:rsidRPr="00723A65">
        <w:rPr>
          <w:i/>
          <w:sz w:val="28"/>
          <w:szCs w:val="28"/>
        </w:rPr>
        <w:t>exercício em concreto</w:t>
      </w:r>
      <w:r w:rsidRPr="00723A65">
        <w:rPr>
          <w:sz w:val="28"/>
          <w:szCs w:val="28"/>
        </w:rPr>
        <w:t xml:space="preserve"> de uma religião em sede de “proselitismo”. </w:t>
      </w:r>
    </w:p>
    <w:p w:rsidR="005477B1" w:rsidRPr="00723A65" w:rsidRDefault="005477B1" w:rsidP="000B10FF">
      <w:pPr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>Assim:</w:t>
      </w:r>
    </w:p>
    <w:p w:rsidR="005477B1" w:rsidRPr="00723A65" w:rsidRDefault="005477B1" w:rsidP="000B10FF">
      <w:pPr>
        <w:spacing w:line="360" w:lineRule="auto"/>
        <w:ind w:firstLine="709"/>
        <w:jc w:val="both"/>
        <w:rPr>
          <w:sz w:val="28"/>
          <w:szCs w:val="28"/>
        </w:rPr>
      </w:pPr>
    </w:p>
    <w:p w:rsidR="000B10FF" w:rsidRPr="00723A65" w:rsidRDefault="005477B1" w:rsidP="005477B1">
      <w:pPr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 xml:space="preserve">No que concerne à </w:t>
      </w:r>
      <w:r w:rsidR="000B10FF" w:rsidRPr="00723A65">
        <w:rPr>
          <w:sz w:val="28"/>
          <w:szCs w:val="28"/>
        </w:rPr>
        <w:t>“</w:t>
      </w:r>
      <w:r w:rsidR="000B10FF" w:rsidRPr="00723A65">
        <w:rPr>
          <w:i/>
          <w:sz w:val="28"/>
          <w:szCs w:val="28"/>
        </w:rPr>
        <w:t>escolha do tema</w:t>
      </w:r>
      <w:r w:rsidRPr="00723A65">
        <w:rPr>
          <w:sz w:val="28"/>
          <w:szCs w:val="28"/>
        </w:rPr>
        <w:t xml:space="preserve">”, </w:t>
      </w:r>
      <w:r w:rsidR="00112175" w:rsidRPr="00723A65">
        <w:rPr>
          <w:sz w:val="28"/>
          <w:szCs w:val="28"/>
        </w:rPr>
        <w:t xml:space="preserve">direi que este, </w:t>
      </w:r>
      <w:r w:rsidR="000B10FF" w:rsidRPr="00723A65">
        <w:rPr>
          <w:sz w:val="28"/>
          <w:szCs w:val="28"/>
        </w:rPr>
        <w:t xml:space="preserve">nas suas linhas gerais, </w:t>
      </w:r>
      <w:r w:rsidR="00112175" w:rsidRPr="00723A65">
        <w:rPr>
          <w:sz w:val="28"/>
          <w:szCs w:val="28"/>
        </w:rPr>
        <w:t xml:space="preserve">me </w:t>
      </w:r>
      <w:r w:rsidR="000B10FF" w:rsidRPr="00723A65">
        <w:rPr>
          <w:sz w:val="28"/>
          <w:szCs w:val="28"/>
        </w:rPr>
        <w:t>parece acertado no quadro de uma liberdade de escolha do candidato.</w:t>
      </w:r>
    </w:p>
    <w:p w:rsidR="005477B1" w:rsidRPr="00723A65" w:rsidRDefault="000B10FF" w:rsidP="000B10FF">
      <w:pPr>
        <w:pStyle w:val="Avanodecorpodetexto"/>
        <w:spacing w:line="360" w:lineRule="auto"/>
        <w:ind w:firstLine="709"/>
        <w:rPr>
          <w:szCs w:val="28"/>
        </w:rPr>
      </w:pPr>
      <w:r w:rsidRPr="00723A65">
        <w:rPr>
          <w:szCs w:val="28"/>
        </w:rPr>
        <w:t>Mas importaria aí definir, com</w:t>
      </w:r>
      <w:r w:rsidR="005477B1" w:rsidRPr="00723A65">
        <w:rPr>
          <w:szCs w:val="28"/>
        </w:rPr>
        <w:t xml:space="preserve"> maior rigor e precisão</w:t>
      </w:r>
      <w:r w:rsidR="00BE69D0" w:rsidRPr="00723A65">
        <w:rPr>
          <w:szCs w:val="28"/>
        </w:rPr>
        <w:t>, o que se enten</w:t>
      </w:r>
      <w:r w:rsidR="0075469F">
        <w:rPr>
          <w:szCs w:val="28"/>
        </w:rPr>
        <w:t>-</w:t>
      </w:r>
      <w:r w:rsidR="00BE69D0" w:rsidRPr="00723A65">
        <w:rPr>
          <w:szCs w:val="28"/>
        </w:rPr>
        <w:t>de conceptual</w:t>
      </w:r>
      <w:r w:rsidRPr="00723A65">
        <w:rPr>
          <w:szCs w:val="28"/>
        </w:rPr>
        <w:t>mente por “</w:t>
      </w:r>
      <w:r w:rsidR="005477B1" w:rsidRPr="00723A65">
        <w:rPr>
          <w:szCs w:val="28"/>
        </w:rPr>
        <w:t>liberdade de religião</w:t>
      </w:r>
      <w:r w:rsidRPr="00723A65">
        <w:rPr>
          <w:szCs w:val="28"/>
        </w:rPr>
        <w:t xml:space="preserve">”, </w:t>
      </w:r>
      <w:r w:rsidR="00935FC6" w:rsidRPr="00723A65">
        <w:rPr>
          <w:szCs w:val="28"/>
        </w:rPr>
        <w:t>para depois melhor se aportar na determinação do conteúdo</w:t>
      </w:r>
      <w:r w:rsidR="00DE2EDB">
        <w:rPr>
          <w:szCs w:val="28"/>
        </w:rPr>
        <w:t>, âmbito e extensão</w:t>
      </w:r>
      <w:r w:rsidR="00935FC6" w:rsidRPr="00723A65">
        <w:rPr>
          <w:szCs w:val="28"/>
        </w:rPr>
        <w:t xml:space="preserve"> dos conceitos de </w:t>
      </w:r>
      <w:r w:rsidR="005477B1" w:rsidRPr="00723A65">
        <w:rPr>
          <w:szCs w:val="28"/>
        </w:rPr>
        <w:t xml:space="preserve">“tolerância” e “proselitismo”. </w:t>
      </w:r>
    </w:p>
    <w:p w:rsidR="00935FC6" w:rsidRPr="00723A65" w:rsidRDefault="00BE69D0" w:rsidP="006C1A1E">
      <w:pPr>
        <w:pStyle w:val="Avanodecorpodetexto"/>
        <w:spacing w:line="360" w:lineRule="auto"/>
        <w:ind w:firstLine="709"/>
        <w:rPr>
          <w:szCs w:val="28"/>
        </w:rPr>
      </w:pPr>
      <w:r w:rsidRPr="00723A65">
        <w:rPr>
          <w:szCs w:val="28"/>
        </w:rPr>
        <w:t xml:space="preserve">Neste ponto, </w:t>
      </w:r>
      <w:r w:rsidR="000B10FF" w:rsidRPr="00723A65">
        <w:rPr>
          <w:szCs w:val="28"/>
        </w:rPr>
        <w:t>parece-me que o candidato em lugar de optar por um “approach” sis</w:t>
      </w:r>
      <w:r w:rsidR="00935FC6" w:rsidRPr="00723A65">
        <w:rPr>
          <w:szCs w:val="28"/>
        </w:rPr>
        <w:t xml:space="preserve">temático e analítico, enveredou, </w:t>
      </w:r>
      <w:r w:rsidR="000B10FF" w:rsidRPr="00723A65">
        <w:rPr>
          <w:szCs w:val="28"/>
        </w:rPr>
        <w:t>antes</w:t>
      </w:r>
      <w:r w:rsidR="00935FC6" w:rsidRPr="00723A65">
        <w:rPr>
          <w:szCs w:val="28"/>
        </w:rPr>
        <w:t>,</w:t>
      </w:r>
      <w:r w:rsidR="000B10FF" w:rsidRPr="00723A65">
        <w:rPr>
          <w:szCs w:val="28"/>
        </w:rPr>
        <w:t xml:space="preserve"> por uma metodologia descritiva, que obscurece sem esclarecer cabalmente os problemas. </w:t>
      </w:r>
    </w:p>
    <w:p w:rsidR="000B10FF" w:rsidRPr="00723A65" w:rsidRDefault="000B10FF" w:rsidP="006C1A1E">
      <w:pPr>
        <w:pStyle w:val="Avanodecorpodetexto"/>
        <w:spacing w:line="360" w:lineRule="auto"/>
        <w:ind w:firstLine="709"/>
        <w:rPr>
          <w:szCs w:val="28"/>
        </w:rPr>
      </w:pPr>
      <w:r w:rsidRPr="00723A65">
        <w:rPr>
          <w:szCs w:val="28"/>
        </w:rPr>
        <w:t xml:space="preserve">Um exemplo: as questões elencadas ― e que são várias ― </w:t>
      </w:r>
      <w:r w:rsidR="002C615B" w:rsidRPr="00723A65">
        <w:rPr>
          <w:szCs w:val="28"/>
        </w:rPr>
        <w:t xml:space="preserve">nos seus diversos </w:t>
      </w:r>
      <w:r w:rsidR="00583E2B" w:rsidRPr="00723A65">
        <w:rPr>
          <w:szCs w:val="28"/>
        </w:rPr>
        <w:t xml:space="preserve">aspectos </w:t>
      </w:r>
      <w:r w:rsidR="00BE69D0" w:rsidRPr="00723A65">
        <w:rPr>
          <w:szCs w:val="28"/>
        </w:rPr>
        <w:t xml:space="preserve">e dimensões, </w:t>
      </w:r>
      <w:r w:rsidRPr="00723A65">
        <w:rPr>
          <w:szCs w:val="28"/>
        </w:rPr>
        <w:t>surgem aí referenciadas sem uma articu</w:t>
      </w:r>
      <w:r w:rsidR="0075469F">
        <w:rPr>
          <w:szCs w:val="28"/>
        </w:rPr>
        <w:t>-</w:t>
      </w:r>
      <w:r w:rsidRPr="00723A65">
        <w:rPr>
          <w:szCs w:val="28"/>
        </w:rPr>
        <w:t xml:space="preserve">lação </w:t>
      </w:r>
      <w:r w:rsidR="00751F62" w:rsidRPr="00723A65">
        <w:rPr>
          <w:szCs w:val="28"/>
        </w:rPr>
        <w:t xml:space="preserve">histórica e </w:t>
      </w:r>
      <w:r w:rsidRPr="00723A65">
        <w:rPr>
          <w:szCs w:val="28"/>
        </w:rPr>
        <w:t>normativamente adequada</w:t>
      </w:r>
      <w:r w:rsidR="00751F62" w:rsidRPr="00723A65">
        <w:rPr>
          <w:szCs w:val="28"/>
        </w:rPr>
        <w:t>s</w:t>
      </w:r>
      <w:r w:rsidRPr="00723A65">
        <w:rPr>
          <w:szCs w:val="28"/>
        </w:rPr>
        <w:t xml:space="preserve">. </w:t>
      </w:r>
    </w:p>
    <w:p w:rsidR="002C615B" w:rsidRPr="00723A65" w:rsidRDefault="002C615B" w:rsidP="006C1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lastRenderedPageBreak/>
        <w:t xml:space="preserve">Senão veja-se: será </w:t>
      </w:r>
      <w:r w:rsidR="00751F62" w:rsidRPr="00723A65">
        <w:rPr>
          <w:sz w:val="28"/>
          <w:szCs w:val="28"/>
        </w:rPr>
        <w:t>John L</w:t>
      </w:r>
      <w:r w:rsidRPr="00723A65">
        <w:rPr>
          <w:sz w:val="28"/>
          <w:szCs w:val="28"/>
        </w:rPr>
        <w:t>OCKE</w:t>
      </w:r>
      <w:r w:rsidR="00751F62" w:rsidRPr="00723A65">
        <w:rPr>
          <w:sz w:val="28"/>
          <w:szCs w:val="28"/>
        </w:rPr>
        <w:t xml:space="preserve"> o único filósofo</w:t>
      </w:r>
      <w:r w:rsidR="0087128C" w:rsidRPr="00723A65">
        <w:rPr>
          <w:sz w:val="28"/>
          <w:szCs w:val="28"/>
        </w:rPr>
        <w:t xml:space="preserve"> da época moderna</w:t>
      </w:r>
      <w:r w:rsidR="00751F62" w:rsidRPr="00723A65">
        <w:rPr>
          <w:sz w:val="28"/>
          <w:szCs w:val="28"/>
        </w:rPr>
        <w:t xml:space="preserve"> a debruçar-se sobre o conceito de “tolerância”</w:t>
      </w:r>
      <w:r w:rsidR="00DC015B" w:rsidRPr="00723A65">
        <w:rPr>
          <w:sz w:val="28"/>
          <w:szCs w:val="28"/>
        </w:rPr>
        <w:t>?</w:t>
      </w:r>
      <w:r w:rsidR="00751F62" w:rsidRPr="00723A65">
        <w:rPr>
          <w:sz w:val="28"/>
          <w:szCs w:val="28"/>
        </w:rPr>
        <w:t xml:space="preserve"> Julgo</w:t>
      </w:r>
      <w:r w:rsidR="0087128C" w:rsidRPr="00723A65">
        <w:rPr>
          <w:sz w:val="28"/>
          <w:szCs w:val="28"/>
        </w:rPr>
        <w:t xml:space="preserve"> </w:t>
      </w:r>
      <w:r w:rsidR="00751F62" w:rsidRPr="00723A65">
        <w:rPr>
          <w:sz w:val="28"/>
          <w:szCs w:val="28"/>
        </w:rPr>
        <w:t xml:space="preserve">que não. </w:t>
      </w:r>
    </w:p>
    <w:p w:rsidR="00BE69D0" w:rsidRPr="00723A65" w:rsidRDefault="0087128C" w:rsidP="006C1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>E ao contrário do que o candidato afirma</w:t>
      </w:r>
      <w:r w:rsidR="00583E2B" w:rsidRPr="00723A65">
        <w:rPr>
          <w:sz w:val="28"/>
          <w:szCs w:val="28"/>
        </w:rPr>
        <w:t>,</w:t>
      </w:r>
      <w:r w:rsidRPr="00723A65">
        <w:rPr>
          <w:sz w:val="28"/>
          <w:szCs w:val="28"/>
        </w:rPr>
        <w:t xml:space="preserve"> L</w:t>
      </w:r>
      <w:r w:rsidR="002C615B" w:rsidRPr="00723A65">
        <w:rPr>
          <w:sz w:val="28"/>
          <w:szCs w:val="28"/>
        </w:rPr>
        <w:t>OCKE</w:t>
      </w:r>
      <w:r w:rsidRPr="00723A65">
        <w:rPr>
          <w:sz w:val="28"/>
          <w:szCs w:val="28"/>
        </w:rPr>
        <w:t xml:space="preserve"> não exclui o </w:t>
      </w:r>
      <w:r w:rsidR="00112175" w:rsidRPr="00723A65">
        <w:rPr>
          <w:sz w:val="28"/>
          <w:szCs w:val="28"/>
        </w:rPr>
        <w:t>“</w:t>
      </w:r>
      <w:r w:rsidRPr="00723A65">
        <w:rPr>
          <w:sz w:val="28"/>
          <w:szCs w:val="28"/>
        </w:rPr>
        <w:t>ateísmo</w:t>
      </w:r>
      <w:r w:rsidR="00112175" w:rsidRPr="00723A65">
        <w:rPr>
          <w:sz w:val="28"/>
          <w:szCs w:val="28"/>
        </w:rPr>
        <w:t>”</w:t>
      </w:r>
      <w:r w:rsidRPr="00723A65">
        <w:rPr>
          <w:sz w:val="28"/>
          <w:szCs w:val="28"/>
        </w:rPr>
        <w:t xml:space="preserve"> e o </w:t>
      </w:r>
      <w:r w:rsidR="00112175" w:rsidRPr="00723A65">
        <w:rPr>
          <w:sz w:val="28"/>
          <w:szCs w:val="28"/>
        </w:rPr>
        <w:t>“</w:t>
      </w:r>
      <w:r w:rsidRPr="00723A65">
        <w:rPr>
          <w:sz w:val="28"/>
          <w:szCs w:val="28"/>
        </w:rPr>
        <w:t>catolicismo</w:t>
      </w:r>
      <w:r w:rsidR="00112175" w:rsidRPr="00723A65">
        <w:rPr>
          <w:sz w:val="28"/>
          <w:szCs w:val="28"/>
        </w:rPr>
        <w:t>”</w:t>
      </w:r>
      <w:r w:rsidRPr="00723A65">
        <w:rPr>
          <w:sz w:val="28"/>
          <w:szCs w:val="28"/>
        </w:rPr>
        <w:t xml:space="preserve"> do conceito geral de “tolerância</w:t>
      </w:r>
      <w:r w:rsidR="002C615B" w:rsidRPr="00723A65">
        <w:rPr>
          <w:sz w:val="28"/>
          <w:szCs w:val="28"/>
        </w:rPr>
        <w:t>”</w:t>
      </w:r>
      <w:r w:rsidR="00112175" w:rsidRPr="00723A65">
        <w:rPr>
          <w:sz w:val="28"/>
          <w:szCs w:val="28"/>
        </w:rPr>
        <w:t xml:space="preserve">, antes afirma </w:t>
      </w:r>
      <w:r w:rsidRPr="00723A65">
        <w:rPr>
          <w:sz w:val="28"/>
          <w:szCs w:val="28"/>
        </w:rPr>
        <w:t xml:space="preserve">que todas as crenças e </w:t>
      </w:r>
      <w:r w:rsidR="0075469F">
        <w:rPr>
          <w:sz w:val="28"/>
          <w:szCs w:val="28"/>
        </w:rPr>
        <w:t>con</w:t>
      </w:r>
      <w:r w:rsidRPr="00723A65">
        <w:rPr>
          <w:sz w:val="28"/>
          <w:szCs w:val="28"/>
        </w:rPr>
        <w:t xml:space="preserve">vicções religiosas têm direito à tolerância, desde que não perturbem ou obstaculizem a </w:t>
      </w:r>
      <w:r w:rsidR="002C615B" w:rsidRPr="00723A65">
        <w:rPr>
          <w:sz w:val="28"/>
          <w:szCs w:val="28"/>
        </w:rPr>
        <w:t xml:space="preserve">“paz civil” </w:t>
      </w:r>
      <w:r w:rsidRPr="00723A65">
        <w:rPr>
          <w:sz w:val="28"/>
          <w:szCs w:val="28"/>
        </w:rPr>
        <w:t xml:space="preserve">ou a </w:t>
      </w:r>
      <w:r w:rsidR="00112175" w:rsidRPr="00723A65">
        <w:rPr>
          <w:sz w:val="28"/>
          <w:szCs w:val="28"/>
        </w:rPr>
        <w:t>“</w:t>
      </w:r>
      <w:r w:rsidRPr="00723A65">
        <w:rPr>
          <w:sz w:val="28"/>
          <w:szCs w:val="28"/>
        </w:rPr>
        <w:t>liberdade de ter</w:t>
      </w:r>
      <w:r w:rsidR="0075469F">
        <w:rPr>
          <w:sz w:val="28"/>
          <w:szCs w:val="28"/>
        </w:rPr>
        <w:t>-</w:t>
      </w:r>
      <w:r w:rsidRPr="00723A65">
        <w:rPr>
          <w:sz w:val="28"/>
          <w:szCs w:val="28"/>
        </w:rPr>
        <w:t>ceiros</w:t>
      </w:r>
      <w:r w:rsidR="00112175" w:rsidRPr="00723A65">
        <w:rPr>
          <w:sz w:val="28"/>
          <w:szCs w:val="28"/>
        </w:rPr>
        <w:t>”</w:t>
      </w:r>
      <w:r w:rsidRPr="00723A65">
        <w:rPr>
          <w:sz w:val="28"/>
          <w:szCs w:val="28"/>
        </w:rPr>
        <w:t>.</w:t>
      </w:r>
      <w:r w:rsidR="002C615B" w:rsidRPr="00723A65">
        <w:rPr>
          <w:sz w:val="28"/>
          <w:szCs w:val="28"/>
        </w:rPr>
        <w:t xml:space="preserve"> </w:t>
      </w:r>
    </w:p>
    <w:p w:rsidR="002C615B" w:rsidRPr="00723A65" w:rsidRDefault="002C615B" w:rsidP="002C61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 xml:space="preserve">É assim que LOCKE, mas também um seu contemporâneo </w:t>
      </w:r>
      <w:r w:rsidR="00112175" w:rsidRPr="00723A65">
        <w:rPr>
          <w:sz w:val="28"/>
          <w:szCs w:val="28"/>
        </w:rPr>
        <w:t xml:space="preserve">John </w:t>
      </w:r>
      <w:r w:rsidRPr="00723A65">
        <w:rPr>
          <w:sz w:val="28"/>
          <w:szCs w:val="28"/>
        </w:rPr>
        <w:t>MILTON</w:t>
      </w:r>
      <w:r w:rsidR="00583E2B" w:rsidRPr="00723A65">
        <w:rPr>
          <w:sz w:val="28"/>
          <w:szCs w:val="28"/>
        </w:rPr>
        <w:t>,</w:t>
      </w:r>
      <w:r w:rsidRPr="00723A65">
        <w:rPr>
          <w:sz w:val="28"/>
          <w:szCs w:val="28"/>
        </w:rPr>
        <w:t xml:space="preserve"> excluem do quadro da tolerância no “espaço público” os “pa</w:t>
      </w:r>
      <w:r w:rsidR="0075469F">
        <w:rPr>
          <w:sz w:val="28"/>
          <w:szCs w:val="28"/>
        </w:rPr>
        <w:t>-</w:t>
      </w:r>
      <w:r w:rsidRPr="00723A65">
        <w:rPr>
          <w:sz w:val="28"/>
          <w:szCs w:val="28"/>
        </w:rPr>
        <w:t>pistas” (: “católicos integristas”</w:t>
      </w:r>
      <w:r w:rsidR="00112175" w:rsidRPr="00723A65">
        <w:rPr>
          <w:sz w:val="28"/>
          <w:szCs w:val="28"/>
        </w:rPr>
        <w:t>,</w:t>
      </w:r>
      <w:r w:rsidRPr="00723A65">
        <w:rPr>
          <w:sz w:val="28"/>
          <w:szCs w:val="28"/>
        </w:rPr>
        <w:t xml:space="preserve"> e não, como parece </w:t>
      </w:r>
      <w:r w:rsidR="00112175" w:rsidRPr="00723A65">
        <w:rPr>
          <w:sz w:val="28"/>
          <w:szCs w:val="28"/>
        </w:rPr>
        <w:t>inclui</w:t>
      </w:r>
      <w:r w:rsidRPr="00723A65">
        <w:rPr>
          <w:sz w:val="28"/>
          <w:szCs w:val="28"/>
        </w:rPr>
        <w:t xml:space="preserve">r, os “católicos romanos” de per si) e os “ateus”, </w:t>
      </w:r>
      <w:r w:rsidR="00112175" w:rsidRPr="00723A65">
        <w:rPr>
          <w:sz w:val="28"/>
          <w:szCs w:val="28"/>
        </w:rPr>
        <w:t xml:space="preserve">já que, num quadro de guerra civil, </w:t>
      </w:r>
      <w:r w:rsidR="003E5E66" w:rsidRPr="00723A65">
        <w:rPr>
          <w:sz w:val="28"/>
          <w:szCs w:val="28"/>
        </w:rPr>
        <w:t xml:space="preserve">os consideram </w:t>
      </w:r>
      <w:r w:rsidR="00583E2B" w:rsidRPr="00723A65">
        <w:rPr>
          <w:sz w:val="28"/>
          <w:szCs w:val="28"/>
        </w:rPr>
        <w:t>“</w:t>
      </w:r>
      <w:r w:rsidRPr="00723A65">
        <w:rPr>
          <w:sz w:val="28"/>
          <w:szCs w:val="28"/>
        </w:rPr>
        <w:t>principais responsáveis</w:t>
      </w:r>
      <w:r w:rsidR="00583E2B" w:rsidRPr="00723A65">
        <w:rPr>
          <w:sz w:val="28"/>
          <w:szCs w:val="28"/>
        </w:rPr>
        <w:t>”</w:t>
      </w:r>
      <w:r w:rsidR="003E5E66" w:rsidRPr="00723A65">
        <w:rPr>
          <w:sz w:val="28"/>
          <w:szCs w:val="28"/>
        </w:rPr>
        <w:t xml:space="preserve"> pela quebra da </w:t>
      </w:r>
      <w:r w:rsidR="00112175" w:rsidRPr="00723A65">
        <w:rPr>
          <w:sz w:val="28"/>
          <w:szCs w:val="28"/>
        </w:rPr>
        <w:t>“</w:t>
      </w:r>
      <w:r w:rsidR="003E5E66" w:rsidRPr="00723A65">
        <w:rPr>
          <w:sz w:val="28"/>
          <w:szCs w:val="28"/>
        </w:rPr>
        <w:t>paz civil</w:t>
      </w:r>
      <w:r w:rsidR="00112175" w:rsidRPr="00723A65">
        <w:rPr>
          <w:sz w:val="28"/>
          <w:szCs w:val="28"/>
        </w:rPr>
        <w:t>”</w:t>
      </w:r>
      <w:r w:rsidR="003E5E66" w:rsidRPr="00723A65">
        <w:rPr>
          <w:sz w:val="28"/>
          <w:szCs w:val="28"/>
        </w:rPr>
        <w:t xml:space="preserve"> e</w:t>
      </w:r>
      <w:r w:rsidR="00112175" w:rsidRPr="00723A65">
        <w:rPr>
          <w:sz w:val="28"/>
          <w:szCs w:val="28"/>
        </w:rPr>
        <w:t>,</w:t>
      </w:r>
      <w:r w:rsidR="003E5E66" w:rsidRPr="00723A65">
        <w:rPr>
          <w:sz w:val="28"/>
          <w:szCs w:val="28"/>
        </w:rPr>
        <w:t xml:space="preserve"> conse</w:t>
      </w:r>
      <w:r w:rsidR="0075469F">
        <w:rPr>
          <w:sz w:val="28"/>
          <w:szCs w:val="28"/>
        </w:rPr>
        <w:t>-</w:t>
      </w:r>
      <w:r w:rsidR="003E5E66" w:rsidRPr="00723A65">
        <w:rPr>
          <w:sz w:val="28"/>
          <w:szCs w:val="28"/>
        </w:rPr>
        <w:t>quente</w:t>
      </w:r>
      <w:r w:rsidR="00112175" w:rsidRPr="00723A65">
        <w:rPr>
          <w:sz w:val="28"/>
          <w:szCs w:val="28"/>
        </w:rPr>
        <w:t>mente, pela</w:t>
      </w:r>
      <w:r w:rsidR="003E5E66" w:rsidRPr="00723A65">
        <w:rPr>
          <w:sz w:val="28"/>
          <w:szCs w:val="28"/>
        </w:rPr>
        <w:t xml:space="preserve"> </w:t>
      </w:r>
      <w:r w:rsidRPr="00723A65">
        <w:rPr>
          <w:sz w:val="28"/>
          <w:szCs w:val="28"/>
        </w:rPr>
        <w:t xml:space="preserve">destruição da </w:t>
      </w:r>
      <w:r w:rsidRPr="00723A65">
        <w:rPr>
          <w:i/>
          <w:sz w:val="28"/>
          <w:szCs w:val="28"/>
        </w:rPr>
        <w:t>legitimidade</w:t>
      </w:r>
      <w:r w:rsidRPr="00723A65">
        <w:rPr>
          <w:sz w:val="28"/>
          <w:szCs w:val="28"/>
        </w:rPr>
        <w:t xml:space="preserve"> da ordem p</w:t>
      </w:r>
      <w:r w:rsidR="00112175" w:rsidRPr="00723A65">
        <w:rPr>
          <w:sz w:val="28"/>
          <w:szCs w:val="28"/>
        </w:rPr>
        <w:t>ública</w:t>
      </w:r>
      <w:r w:rsidRPr="00723A65">
        <w:rPr>
          <w:sz w:val="28"/>
          <w:szCs w:val="28"/>
        </w:rPr>
        <w:t xml:space="preserve"> pré-estabelecida</w:t>
      </w:r>
      <w:r w:rsidRPr="00723A65">
        <w:rPr>
          <w:rStyle w:val="Refdenotaderodap"/>
          <w:rFonts w:eastAsiaTheme="majorEastAsia"/>
          <w:sz w:val="28"/>
          <w:szCs w:val="28"/>
        </w:rPr>
        <w:footnoteReference w:id="2"/>
      </w:r>
      <w:r w:rsidRPr="00723A65">
        <w:rPr>
          <w:sz w:val="28"/>
          <w:szCs w:val="28"/>
        </w:rPr>
        <w:t xml:space="preserve">. </w:t>
      </w:r>
    </w:p>
    <w:p w:rsidR="003E5E66" w:rsidRPr="00723A65" w:rsidRDefault="003E5E66" w:rsidP="006C1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2175" w:rsidRPr="00723A65" w:rsidRDefault="003E5E66" w:rsidP="00847B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>2. Para além disso</w:t>
      </w:r>
      <w:r w:rsidR="00C31817">
        <w:rPr>
          <w:sz w:val="28"/>
          <w:szCs w:val="28"/>
        </w:rPr>
        <w:t>,</w:t>
      </w:r>
      <w:r w:rsidRPr="00723A65">
        <w:rPr>
          <w:sz w:val="28"/>
          <w:szCs w:val="28"/>
        </w:rPr>
        <w:t xml:space="preserve"> </w:t>
      </w:r>
      <w:r w:rsidR="005E7B97" w:rsidRPr="00723A65">
        <w:rPr>
          <w:sz w:val="28"/>
          <w:szCs w:val="28"/>
        </w:rPr>
        <w:t>não é correcto afirmar que a tolerância rel</w:t>
      </w:r>
      <w:r w:rsidR="00112175" w:rsidRPr="00723A65">
        <w:rPr>
          <w:sz w:val="28"/>
          <w:szCs w:val="28"/>
        </w:rPr>
        <w:t>igiosa (apenas) teve origem no</w:t>
      </w:r>
      <w:r w:rsidR="00DE2EDB">
        <w:rPr>
          <w:sz w:val="28"/>
          <w:szCs w:val="28"/>
        </w:rPr>
        <w:t>[s]</w:t>
      </w:r>
      <w:r w:rsidR="00112175" w:rsidRPr="00723A65">
        <w:rPr>
          <w:sz w:val="28"/>
          <w:szCs w:val="28"/>
        </w:rPr>
        <w:t xml:space="preserve"> T</w:t>
      </w:r>
      <w:r w:rsidR="005E7B97" w:rsidRPr="00723A65">
        <w:rPr>
          <w:sz w:val="28"/>
          <w:szCs w:val="28"/>
        </w:rPr>
        <w:t>ratado</w:t>
      </w:r>
      <w:r w:rsidR="00DE2EDB">
        <w:rPr>
          <w:sz w:val="28"/>
          <w:szCs w:val="28"/>
        </w:rPr>
        <w:t>[s]</w:t>
      </w:r>
      <w:r w:rsidR="005E7B97" w:rsidRPr="00723A65">
        <w:rPr>
          <w:sz w:val="28"/>
          <w:szCs w:val="28"/>
        </w:rPr>
        <w:t xml:space="preserve"> de Vestefália. </w:t>
      </w:r>
      <w:r w:rsidR="00847BCB" w:rsidRPr="00723A65">
        <w:rPr>
          <w:sz w:val="28"/>
          <w:szCs w:val="28"/>
        </w:rPr>
        <w:t>Pelo contrário, o que esses acordos possibilitaram foi o estabelecimento da constituição de grupos de poder político confessionais, passando os “assuntos mistos” (</w:t>
      </w:r>
      <w:r w:rsidR="00847BCB" w:rsidRPr="00723A65">
        <w:rPr>
          <w:i/>
          <w:sz w:val="28"/>
          <w:szCs w:val="28"/>
        </w:rPr>
        <w:t>rex mixtae</w:t>
      </w:r>
      <w:r w:rsidR="00847BCB" w:rsidRPr="00723A65">
        <w:rPr>
          <w:sz w:val="28"/>
          <w:szCs w:val="28"/>
        </w:rPr>
        <w:t>) a ser regulados pelo Estado</w:t>
      </w:r>
      <w:r w:rsidR="00847BCB" w:rsidRPr="00723A65">
        <w:rPr>
          <w:rStyle w:val="Refdenotaderodap"/>
          <w:rFonts w:eastAsiaTheme="majorEastAsia"/>
          <w:sz w:val="28"/>
          <w:szCs w:val="28"/>
        </w:rPr>
        <w:footnoteReference w:id="3"/>
      </w:r>
      <w:r w:rsidR="00847BCB" w:rsidRPr="00723A65">
        <w:rPr>
          <w:sz w:val="28"/>
          <w:szCs w:val="28"/>
        </w:rPr>
        <w:t xml:space="preserve">. Nisto </w:t>
      </w:r>
      <w:r w:rsidR="0075469F">
        <w:rPr>
          <w:sz w:val="28"/>
          <w:szCs w:val="28"/>
        </w:rPr>
        <w:t>con</w:t>
      </w:r>
      <w:r w:rsidR="00847BCB" w:rsidRPr="00723A65">
        <w:rPr>
          <w:sz w:val="28"/>
          <w:szCs w:val="28"/>
        </w:rPr>
        <w:t>siste a afirmação do prin</w:t>
      </w:r>
      <w:r w:rsidR="00DE2EDB">
        <w:rPr>
          <w:sz w:val="28"/>
          <w:szCs w:val="28"/>
        </w:rPr>
        <w:t>-</w:t>
      </w:r>
      <w:r w:rsidR="00847BCB" w:rsidRPr="00723A65">
        <w:rPr>
          <w:sz w:val="28"/>
          <w:szCs w:val="28"/>
        </w:rPr>
        <w:t xml:space="preserve">cípio “cuius regio, eius religio”. </w:t>
      </w:r>
      <w:r w:rsidR="00112175" w:rsidRPr="00723A65">
        <w:rPr>
          <w:sz w:val="28"/>
          <w:szCs w:val="28"/>
        </w:rPr>
        <w:t>A religião do Estado é a religião do Prín</w:t>
      </w:r>
      <w:r w:rsidR="00DE2EDB">
        <w:rPr>
          <w:sz w:val="28"/>
          <w:szCs w:val="28"/>
        </w:rPr>
        <w:t>-</w:t>
      </w:r>
      <w:r w:rsidR="00112175" w:rsidRPr="00723A65">
        <w:rPr>
          <w:sz w:val="28"/>
          <w:szCs w:val="28"/>
        </w:rPr>
        <w:lastRenderedPageBreak/>
        <w:t>cipe.</w:t>
      </w:r>
      <w:r w:rsidR="00847BCB" w:rsidRPr="00723A65">
        <w:rPr>
          <w:sz w:val="28"/>
          <w:szCs w:val="28"/>
        </w:rPr>
        <w:t xml:space="preserve"> </w:t>
      </w:r>
      <w:r w:rsidR="00DE2EDB">
        <w:rPr>
          <w:sz w:val="28"/>
          <w:szCs w:val="28"/>
        </w:rPr>
        <w:t>Não são</w:t>
      </w:r>
      <w:r w:rsidR="00112175" w:rsidRPr="00723A65">
        <w:rPr>
          <w:sz w:val="28"/>
          <w:szCs w:val="28"/>
        </w:rPr>
        <w:t xml:space="preserve"> o</w:t>
      </w:r>
      <w:r w:rsidR="00DE2EDB">
        <w:rPr>
          <w:sz w:val="28"/>
          <w:szCs w:val="28"/>
        </w:rPr>
        <w:t>s</w:t>
      </w:r>
      <w:r w:rsidR="00112175" w:rsidRPr="00723A65">
        <w:rPr>
          <w:sz w:val="28"/>
          <w:szCs w:val="28"/>
        </w:rPr>
        <w:t xml:space="preserve"> Tratado</w:t>
      </w:r>
      <w:r w:rsidR="00DE2EDB">
        <w:rPr>
          <w:sz w:val="28"/>
          <w:szCs w:val="28"/>
        </w:rPr>
        <w:t>s</w:t>
      </w:r>
      <w:r w:rsidR="00112175" w:rsidRPr="00723A65">
        <w:rPr>
          <w:sz w:val="28"/>
          <w:szCs w:val="28"/>
        </w:rPr>
        <w:t xml:space="preserve"> de </w:t>
      </w:r>
      <w:r w:rsidR="00DE2EDB">
        <w:rPr>
          <w:sz w:val="28"/>
          <w:szCs w:val="28"/>
        </w:rPr>
        <w:t xml:space="preserve">Paz de </w:t>
      </w:r>
      <w:r w:rsidR="00C31817">
        <w:rPr>
          <w:sz w:val="28"/>
          <w:szCs w:val="28"/>
        </w:rPr>
        <w:t>Vestefália</w:t>
      </w:r>
      <w:r w:rsidR="00112175" w:rsidRPr="00723A65">
        <w:rPr>
          <w:sz w:val="28"/>
          <w:szCs w:val="28"/>
        </w:rPr>
        <w:t xml:space="preserve">, mas </w:t>
      </w:r>
      <w:r w:rsidR="002942A0" w:rsidRPr="00723A65">
        <w:rPr>
          <w:sz w:val="28"/>
          <w:szCs w:val="28"/>
        </w:rPr>
        <w:t>a “razão”</w:t>
      </w:r>
      <w:r w:rsidR="006C1A1E" w:rsidRPr="00723A65">
        <w:rPr>
          <w:sz w:val="28"/>
          <w:szCs w:val="28"/>
        </w:rPr>
        <w:t xml:space="preserve"> pré-re</w:t>
      </w:r>
      <w:r w:rsidR="00112175" w:rsidRPr="00723A65">
        <w:rPr>
          <w:sz w:val="28"/>
          <w:szCs w:val="28"/>
        </w:rPr>
        <w:t>-</w:t>
      </w:r>
      <w:r w:rsidR="006C1A1E" w:rsidRPr="00723A65">
        <w:rPr>
          <w:sz w:val="28"/>
          <w:szCs w:val="28"/>
        </w:rPr>
        <w:t xml:space="preserve">volucionária </w:t>
      </w:r>
      <w:r w:rsidR="00112175" w:rsidRPr="00723A65">
        <w:rPr>
          <w:sz w:val="28"/>
          <w:szCs w:val="28"/>
        </w:rPr>
        <w:t xml:space="preserve">que </w:t>
      </w:r>
      <w:r w:rsidR="006C1A1E" w:rsidRPr="00723A65">
        <w:rPr>
          <w:sz w:val="28"/>
          <w:szCs w:val="28"/>
        </w:rPr>
        <w:t xml:space="preserve">impõe a regra da </w:t>
      </w:r>
      <w:r w:rsidR="006C1A1E" w:rsidRPr="00723A65">
        <w:rPr>
          <w:i/>
          <w:sz w:val="28"/>
          <w:szCs w:val="28"/>
        </w:rPr>
        <w:t>liberdade religiosa</w:t>
      </w:r>
      <w:r w:rsidR="006C1A1E" w:rsidRPr="00723A65">
        <w:rPr>
          <w:sz w:val="28"/>
          <w:szCs w:val="28"/>
        </w:rPr>
        <w:t xml:space="preserve"> que se estende, no século XVIII, à </w:t>
      </w:r>
      <w:r w:rsidR="006C1A1E" w:rsidRPr="00723A65">
        <w:rPr>
          <w:i/>
          <w:sz w:val="28"/>
          <w:szCs w:val="28"/>
        </w:rPr>
        <w:t>liberdade de consciência</w:t>
      </w:r>
      <w:r w:rsidR="006C1A1E" w:rsidRPr="00723A65">
        <w:rPr>
          <w:sz w:val="28"/>
          <w:szCs w:val="28"/>
        </w:rPr>
        <w:t xml:space="preserve">. </w:t>
      </w:r>
    </w:p>
    <w:p w:rsidR="006C1A1E" w:rsidRPr="00723A65" w:rsidRDefault="00112175" w:rsidP="00847B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>Por outro lado, o</w:t>
      </w:r>
      <w:r w:rsidR="006C1A1E" w:rsidRPr="00723A65">
        <w:rPr>
          <w:sz w:val="28"/>
          <w:szCs w:val="28"/>
        </w:rPr>
        <w:t xml:space="preserve"> pluralismo</w:t>
      </w:r>
      <w:r w:rsidRPr="00723A65">
        <w:rPr>
          <w:sz w:val="28"/>
          <w:szCs w:val="28"/>
        </w:rPr>
        <w:t xml:space="preserve"> de natureza religiosa</w:t>
      </w:r>
      <w:r w:rsidR="006C1A1E" w:rsidRPr="00723A65">
        <w:rPr>
          <w:sz w:val="28"/>
          <w:szCs w:val="28"/>
        </w:rPr>
        <w:t xml:space="preserve"> tem por conse</w:t>
      </w:r>
      <w:r w:rsidR="0075469F">
        <w:rPr>
          <w:sz w:val="28"/>
          <w:szCs w:val="28"/>
        </w:rPr>
        <w:t>-</w:t>
      </w:r>
      <w:r w:rsidR="006C1A1E" w:rsidRPr="00723A65">
        <w:rPr>
          <w:sz w:val="28"/>
          <w:szCs w:val="28"/>
        </w:rPr>
        <w:t xml:space="preserve">quência a </w:t>
      </w:r>
      <w:r w:rsidR="006C1A1E" w:rsidRPr="00723A65">
        <w:rPr>
          <w:i/>
          <w:sz w:val="28"/>
          <w:szCs w:val="28"/>
        </w:rPr>
        <w:t>secularização</w:t>
      </w:r>
      <w:r w:rsidR="006C1A1E" w:rsidRPr="00723A65">
        <w:rPr>
          <w:sz w:val="28"/>
          <w:szCs w:val="28"/>
        </w:rPr>
        <w:t xml:space="preserve"> do Estado. O “eclipse do sagrado” torna viável a </w:t>
      </w:r>
      <w:r w:rsidR="006C1A1E" w:rsidRPr="00723A65">
        <w:rPr>
          <w:i/>
          <w:sz w:val="28"/>
          <w:szCs w:val="28"/>
        </w:rPr>
        <w:t>liberdade individual</w:t>
      </w:r>
      <w:r w:rsidR="006C1A1E" w:rsidRPr="00723A65">
        <w:rPr>
          <w:sz w:val="28"/>
          <w:szCs w:val="28"/>
        </w:rPr>
        <w:t>. A finalidade da so</w:t>
      </w:r>
      <w:r w:rsidR="0075469F">
        <w:rPr>
          <w:sz w:val="28"/>
          <w:szCs w:val="28"/>
        </w:rPr>
        <w:t>c</w:t>
      </w:r>
      <w:r w:rsidR="006C1A1E" w:rsidRPr="00723A65">
        <w:rPr>
          <w:sz w:val="28"/>
          <w:szCs w:val="28"/>
        </w:rPr>
        <w:t>iedade abandona os fundamentos soterioló</w:t>
      </w:r>
      <w:r w:rsidR="0075469F">
        <w:rPr>
          <w:sz w:val="28"/>
          <w:szCs w:val="28"/>
        </w:rPr>
        <w:t xml:space="preserve">gicos (: ordem </w:t>
      </w:r>
      <w:r w:rsidR="006C1A1E" w:rsidRPr="00723A65">
        <w:rPr>
          <w:sz w:val="28"/>
          <w:szCs w:val="28"/>
        </w:rPr>
        <w:t xml:space="preserve">de salvação) para assentar no estabelecimento de uma </w:t>
      </w:r>
      <w:r w:rsidR="006C1A1E" w:rsidRPr="00723A65">
        <w:rPr>
          <w:i/>
          <w:sz w:val="28"/>
          <w:szCs w:val="28"/>
        </w:rPr>
        <w:t>ordem social justa</w:t>
      </w:r>
      <w:r w:rsidR="006C1A1E" w:rsidRPr="00723A65">
        <w:rPr>
          <w:sz w:val="28"/>
          <w:szCs w:val="28"/>
        </w:rPr>
        <w:t xml:space="preserve">, que assegure aos membros da comunidade uma coexistência pacífica, independentemente das respectivas concepções de índole religiosa. </w:t>
      </w:r>
    </w:p>
    <w:p w:rsidR="00847BCB" w:rsidRPr="00723A65" w:rsidRDefault="00112175" w:rsidP="006C1A1E">
      <w:pPr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 xml:space="preserve">Deste modo, se </w:t>
      </w:r>
      <w:r w:rsidR="00BE69D0" w:rsidRPr="00723A65">
        <w:rPr>
          <w:sz w:val="28"/>
          <w:szCs w:val="28"/>
        </w:rPr>
        <w:t>o objecto do seu estudo, no que se reporta à Pa</w:t>
      </w:r>
      <w:r w:rsidR="00847BCB" w:rsidRPr="00723A65">
        <w:rPr>
          <w:sz w:val="28"/>
          <w:szCs w:val="28"/>
        </w:rPr>
        <w:t>rte I, é a questão da “tolerâ</w:t>
      </w:r>
      <w:r w:rsidR="00924B30" w:rsidRPr="00723A65">
        <w:rPr>
          <w:sz w:val="28"/>
          <w:szCs w:val="28"/>
        </w:rPr>
        <w:t>n</w:t>
      </w:r>
      <w:r w:rsidR="00847BCB" w:rsidRPr="00723A65">
        <w:rPr>
          <w:sz w:val="28"/>
          <w:szCs w:val="28"/>
        </w:rPr>
        <w:t>cia</w:t>
      </w:r>
      <w:r w:rsidR="00BE69D0" w:rsidRPr="00723A65">
        <w:rPr>
          <w:sz w:val="28"/>
          <w:szCs w:val="28"/>
        </w:rPr>
        <w:t xml:space="preserve">”, e, de um modo particular, </w:t>
      </w:r>
      <w:r w:rsidR="006C1A1E" w:rsidRPr="00723A65">
        <w:rPr>
          <w:sz w:val="28"/>
          <w:szCs w:val="28"/>
        </w:rPr>
        <w:t>os “limites” à tole</w:t>
      </w:r>
      <w:r w:rsidR="0075469F">
        <w:rPr>
          <w:sz w:val="28"/>
          <w:szCs w:val="28"/>
        </w:rPr>
        <w:t>-</w:t>
      </w:r>
      <w:r w:rsidR="006C1A1E" w:rsidRPr="00723A65">
        <w:rPr>
          <w:sz w:val="28"/>
          <w:szCs w:val="28"/>
        </w:rPr>
        <w:t>rância religiosa</w:t>
      </w:r>
      <w:r w:rsidR="00EF5298" w:rsidRPr="00723A65">
        <w:rPr>
          <w:sz w:val="28"/>
          <w:szCs w:val="28"/>
        </w:rPr>
        <w:t>, mal se compreende</w:t>
      </w:r>
      <w:r w:rsidR="0075469F">
        <w:rPr>
          <w:sz w:val="28"/>
          <w:szCs w:val="28"/>
        </w:rPr>
        <w:t>ria</w:t>
      </w:r>
      <w:r w:rsidR="00EF5298" w:rsidRPr="00723A65">
        <w:rPr>
          <w:sz w:val="28"/>
          <w:szCs w:val="28"/>
        </w:rPr>
        <w:t xml:space="preserve"> que </w:t>
      </w:r>
      <w:r w:rsidR="00847BCB" w:rsidRPr="00723A65">
        <w:rPr>
          <w:sz w:val="28"/>
          <w:szCs w:val="28"/>
        </w:rPr>
        <w:t xml:space="preserve">este </w:t>
      </w:r>
      <w:r w:rsidR="00EF5298" w:rsidRPr="00723A65">
        <w:rPr>
          <w:sz w:val="28"/>
          <w:szCs w:val="28"/>
        </w:rPr>
        <w:t xml:space="preserve">não </w:t>
      </w:r>
      <w:r w:rsidR="0075469F">
        <w:rPr>
          <w:sz w:val="28"/>
          <w:szCs w:val="28"/>
        </w:rPr>
        <w:t xml:space="preserve">fosse </w:t>
      </w:r>
      <w:r w:rsidR="00EF5298" w:rsidRPr="00723A65">
        <w:rPr>
          <w:sz w:val="28"/>
          <w:szCs w:val="28"/>
        </w:rPr>
        <w:t>precedido, ainda que</w:t>
      </w:r>
      <w:r w:rsidR="00924B30" w:rsidRPr="00723A65">
        <w:rPr>
          <w:sz w:val="28"/>
          <w:szCs w:val="28"/>
        </w:rPr>
        <w:t xml:space="preserve"> em</w:t>
      </w:r>
      <w:r w:rsidR="00EF5298" w:rsidRPr="00723A65">
        <w:rPr>
          <w:sz w:val="28"/>
          <w:szCs w:val="28"/>
        </w:rPr>
        <w:t xml:space="preserve"> ter</w:t>
      </w:r>
      <w:r w:rsidR="0075469F">
        <w:rPr>
          <w:sz w:val="28"/>
          <w:szCs w:val="28"/>
        </w:rPr>
        <w:t xml:space="preserve">mos breves, de </w:t>
      </w:r>
      <w:r w:rsidR="00EF5298" w:rsidRPr="00723A65">
        <w:rPr>
          <w:sz w:val="28"/>
          <w:szCs w:val="28"/>
        </w:rPr>
        <w:t>uma aproximação ao conceito de “</w:t>
      </w:r>
      <w:r w:rsidR="006C1A1E" w:rsidRPr="00723A65">
        <w:rPr>
          <w:sz w:val="28"/>
          <w:szCs w:val="28"/>
        </w:rPr>
        <w:t>liberdade</w:t>
      </w:r>
      <w:r w:rsidR="00924B30" w:rsidRPr="00723A65">
        <w:rPr>
          <w:sz w:val="28"/>
          <w:szCs w:val="28"/>
        </w:rPr>
        <w:t xml:space="preserve"> religiosa</w:t>
      </w:r>
      <w:r w:rsidR="00EF5298" w:rsidRPr="00723A65">
        <w:rPr>
          <w:sz w:val="28"/>
          <w:szCs w:val="28"/>
        </w:rPr>
        <w:t>”. Isso permitir-lhe-ia</w:t>
      </w:r>
      <w:r w:rsidR="00847BCB" w:rsidRPr="00723A65">
        <w:rPr>
          <w:sz w:val="28"/>
          <w:szCs w:val="28"/>
        </w:rPr>
        <w:t xml:space="preserve"> </w:t>
      </w:r>
      <w:r w:rsidR="00EF5298" w:rsidRPr="00723A65">
        <w:rPr>
          <w:sz w:val="28"/>
          <w:szCs w:val="28"/>
        </w:rPr>
        <w:t>distinguir entre</w:t>
      </w:r>
      <w:r w:rsidR="00DE2EDB">
        <w:rPr>
          <w:sz w:val="28"/>
          <w:szCs w:val="28"/>
        </w:rPr>
        <w:t xml:space="preserve"> a </w:t>
      </w:r>
      <w:r w:rsidR="00EF5298" w:rsidRPr="00723A65">
        <w:rPr>
          <w:sz w:val="28"/>
          <w:szCs w:val="28"/>
        </w:rPr>
        <w:t>liberdade “positiva” e “ne</w:t>
      </w:r>
      <w:r w:rsidR="0075469F">
        <w:rPr>
          <w:sz w:val="28"/>
          <w:szCs w:val="28"/>
        </w:rPr>
        <w:t>-</w:t>
      </w:r>
      <w:r w:rsidR="00EF5298" w:rsidRPr="00723A65">
        <w:rPr>
          <w:sz w:val="28"/>
          <w:szCs w:val="28"/>
        </w:rPr>
        <w:t>gativa”</w:t>
      </w:r>
      <w:r w:rsidR="006C1A1E" w:rsidRPr="00723A65">
        <w:rPr>
          <w:sz w:val="28"/>
          <w:szCs w:val="28"/>
        </w:rPr>
        <w:t xml:space="preserve"> </w:t>
      </w:r>
      <w:r w:rsidR="006C1A1E" w:rsidRPr="00723A65">
        <w:rPr>
          <w:i/>
          <w:sz w:val="28"/>
          <w:szCs w:val="28"/>
        </w:rPr>
        <w:t xml:space="preserve">de </w:t>
      </w:r>
      <w:r w:rsidR="006C1A1E" w:rsidRPr="00723A65">
        <w:rPr>
          <w:sz w:val="28"/>
          <w:szCs w:val="28"/>
        </w:rPr>
        <w:t xml:space="preserve">religião ou </w:t>
      </w:r>
      <w:r w:rsidR="006C1A1E" w:rsidRPr="00723A65">
        <w:rPr>
          <w:i/>
          <w:sz w:val="28"/>
          <w:szCs w:val="28"/>
        </w:rPr>
        <w:t>perante</w:t>
      </w:r>
      <w:r w:rsidR="006C1A1E" w:rsidRPr="00723A65">
        <w:rPr>
          <w:sz w:val="28"/>
          <w:szCs w:val="28"/>
        </w:rPr>
        <w:t xml:space="preserve"> a religião. </w:t>
      </w:r>
    </w:p>
    <w:p w:rsidR="00924B30" w:rsidRPr="00723A65" w:rsidRDefault="00924B30" w:rsidP="006C1A1E">
      <w:pPr>
        <w:spacing w:line="360" w:lineRule="auto"/>
        <w:ind w:firstLine="709"/>
        <w:jc w:val="both"/>
        <w:rPr>
          <w:sz w:val="28"/>
          <w:szCs w:val="28"/>
        </w:rPr>
      </w:pPr>
    </w:p>
    <w:p w:rsidR="006C1A1E" w:rsidRPr="00723A65" w:rsidRDefault="00802D09" w:rsidP="006C1A1E">
      <w:pPr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>3</w:t>
      </w:r>
      <w:r w:rsidR="00924B30" w:rsidRPr="00723A65">
        <w:rPr>
          <w:sz w:val="28"/>
          <w:szCs w:val="28"/>
        </w:rPr>
        <w:t xml:space="preserve">. </w:t>
      </w:r>
      <w:r w:rsidR="006C1A1E" w:rsidRPr="00723A65">
        <w:rPr>
          <w:sz w:val="28"/>
          <w:szCs w:val="28"/>
        </w:rPr>
        <w:t xml:space="preserve">E a questão também não é, </w:t>
      </w:r>
      <w:r w:rsidR="006C1A1E" w:rsidRPr="00723A65">
        <w:rPr>
          <w:i/>
          <w:sz w:val="28"/>
          <w:szCs w:val="28"/>
        </w:rPr>
        <w:t>só e apenas</w:t>
      </w:r>
      <w:r w:rsidR="006C1A1E" w:rsidRPr="00723A65">
        <w:rPr>
          <w:sz w:val="28"/>
          <w:szCs w:val="28"/>
        </w:rPr>
        <w:t>, um problema de “pa</w:t>
      </w:r>
      <w:r w:rsidR="0075469F">
        <w:rPr>
          <w:sz w:val="28"/>
          <w:szCs w:val="28"/>
        </w:rPr>
        <w:t>-</w:t>
      </w:r>
      <w:r w:rsidR="006C1A1E" w:rsidRPr="00723A65">
        <w:rPr>
          <w:sz w:val="28"/>
          <w:szCs w:val="28"/>
        </w:rPr>
        <w:t xml:space="preserve">radoxo da tolerância”. As liberdades são exercidas no </w:t>
      </w:r>
      <w:r w:rsidR="00924B30" w:rsidRPr="00723A65">
        <w:rPr>
          <w:sz w:val="28"/>
          <w:szCs w:val="28"/>
        </w:rPr>
        <w:t>“</w:t>
      </w:r>
      <w:r w:rsidR="006C1A1E" w:rsidRPr="00723A65">
        <w:rPr>
          <w:sz w:val="28"/>
          <w:szCs w:val="28"/>
        </w:rPr>
        <w:t xml:space="preserve">espaço </w:t>
      </w:r>
      <w:r w:rsidR="004C7D0C" w:rsidRPr="00723A65">
        <w:rPr>
          <w:sz w:val="28"/>
          <w:szCs w:val="28"/>
        </w:rPr>
        <w:t>p</w:t>
      </w:r>
      <w:r w:rsidR="006C1A1E" w:rsidRPr="00723A65">
        <w:rPr>
          <w:sz w:val="28"/>
          <w:szCs w:val="28"/>
        </w:rPr>
        <w:t>úblico</w:t>
      </w:r>
      <w:r w:rsidR="00924B30" w:rsidRPr="00723A65">
        <w:rPr>
          <w:sz w:val="28"/>
          <w:szCs w:val="28"/>
        </w:rPr>
        <w:t>”</w:t>
      </w:r>
      <w:r w:rsidR="006C1A1E" w:rsidRPr="00723A65">
        <w:rPr>
          <w:sz w:val="28"/>
          <w:szCs w:val="28"/>
        </w:rPr>
        <w:t>. E não é a religi</w:t>
      </w:r>
      <w:r w:rsidR="004C7D0C" w:rsidRPr="00723A65">
        <w:rPr>
          <w:sz w:val="28"/>
          <w:szCs w:val="28"/>
        </w:rPr>
        <w:t>ão ou a crença que constituiu o</w:t>
      </w:r>
      <w:r w:rsidR="006C1A1E" w:rsidRPr="00723A65">
        <w:rPr>
          <w:sz w:val="28"/>
          <w:szCs w:val="28"/>
        </w:rPr>
        <w:t xml:space="preserve"> “bem púbico”, </w:t>
      </w:r>
      <w:r w:rsidR="006C1A1E" w:rsidRPr="00723A65">
        <w:rPr>
          <w:i/>
          <w:sz w:val="28"/>
          <w:szCs w:val="28"/>
        </w:rPr>
        <w:t>rectius</w:t>
      </w:r>
      <w:r w:rsidR="006C1A1E" w:rsidRPr="00723A65">
        <w:rPr>
          <w:sz w:val="28"/>
          <w:szCs w:val="28"/>
        </w:rPr>
        <w:t xml:space="preserve"> “cons</w:t>
      </w:r>
      <w:r w:rsidR="0075469F">
        <w:rPr>
          <w:sz w:val="28"/>
          <w:szCs w:val="28"/>
        </w:rPr>
        <w:t>-</w:t>
      </w:r>
      <w:r w:rsidR="006C1A1E" w:rsidRPr="00723A65">
        <w:rPr>
          <w:sz w:val="28"/>
          <w:szCs w:val="28"/>
        </w:rPr>
        <w:t>titucional”</w:t>
      </w:r>
      <w:r w:rsidR="004C7D0C" w:rsidRPr="00723A65">
        <w:rPr>
          <w:sz w:val="28"/>
          <w:szCs w:val="28"/>
        </w:rPr>
        <w:t xml:space="preserve">, mas o </w:t>
      </w:r>
      <w:r w:rsidR="004C7D0C" w:rsidRPr="00723A65">
        <w:rPr>
          <w:i/>
          <w:sz w:val="28"/>
          <w:szCs w:val="28"/>
        </w:rPr>
        <w:t>exer</w:t>
      </w:r>
      <w:r w:rsidR="006C1A1E" w:rsidRPr="00723A65">
        <w:rPr>
          <w:i/>
          <w:sz w:val="28"/>
          <w:szCs w:val="28"/>
        </w:rPr>
        <w:t>cício</w:t>
      </w:r>
      <w:r w:rsidR="006C1A1E" w:rsidRPr="00723A65">
        <w:rPr>
          <w:sz w:val="28"/>
          <w:szCs w:val="28"/>
        </w:rPr>
        <w:t xml:space="preserve"> </w:t>
      </w:r>
      <w:r w:rsidR="006C1A1E" w:rsidRPr="00DE2EDB">
        <w:rPr>
          <w:i/>
          <w:sz w:val="28"/>
          <w:szCs w:val="28"/>
        </w:rPr>
        <w:t>em concreto</w:t>
      </w:r>
      <w:r w:rsidR="006C1A1E" w:rsidRPr="00723A65">
        <w:rPr>
          <w:sz w:val="28"/>
          <w:szCs w:val="28"/>
        </w:rPr>
        <w:t xml:space="preserve"> de uma </w:t>
      </w:r>
      <w:r w:rsidR="00924B30" w:rsidRPr="00723A65">
        <w:rPr>
          <w:sz w:val="28"/>
          <w:szCs w:val="28"/>
        </w:rPr>
        <w:t xml:space="preserve">determinada </w:t>
      </w:r>
      <w:r w:rsidR="006C1A1E" w:rsidRPr="00723A65">
        <w:rPr>
          <w:sz w:val="28"/>
          <w:szCs w:val="28"/>
        </w:rPr>
        <w:t>relig</w:t>
      </w:r>
      <w:r w:rsidR="002942A0" w:rsidRPr="00723A65">
        <w:rPr>
          <w:sz w:val="28"/>
          <w:szCs w:val="28"/>
        </w:rPr>
        <w:t>i</w:t>
      </w:r>
      <w:r w:rsidR="006C1A1E" w:rsidRPr="00723A65">
        <w:rPr>
          <w:sz w:val="28"/>
          <w:szCs w:val="28"/>
        </w:rPr>
        <w:t>ão ou cre</w:t>
      </w:r>
      <w:r w:rsidR="004C7D0C" w:rsidRPr="00723A65">
        <w:rPr>
          <w:sz w:val="28"/>
          <w:szCs w:val="28"/>
        </w:rPr>
        <w:t xml:space="preserve">nça. </w:t>
      </w:r>
      <w:r w:rsidR="006C1A1E" w:rsidRPr="00723A65">
        <w:rPr>
          <w:sz w:val="28"/>
          <w:szCs w:val="28"/>
        </w:rPr>
        <w:t>Em relação ao tribunal interno da consciência o Estado não tem nada que ver. Aí terminam</w:t>
      </w:r>
      <w:r w:rsidR="006C1A1E" w:rsidRPr="00723A65">
        <w:rPr>
          <w:i/>
          <w:sz w:val="28"/>
          <w:szCs w:val="28"/>
        </w:rPr>
        <w:t xml:space="preserve"> objectivamente</w:t>
      </w:r>
      <w:r w:rsidR="006C1A1E" w:rsidRPr="00723A65">
        <w:rPr>
          <w:sz w:val="28"/>
          <w:szCs w:val="28"/>
        </w:rPr>
        <w:t xml:space="preserve"> os </w:t>
      </w:r>
      <w:r w:rsidR="00EF5298" w:rsidRPr="00723A65">
        <w:rPr>
          <w:sz w:val="28"/>
          <w:szCs w:val="28"/>
        </w:rPr>
        <w:t>“</w:t>
      </w:r>
      <w:r w:rsidR="006C1A1E" w:rsidRPr="00723A65">
        <w:rPr>
          <w:sz w:val="28"/>
          <w:szCs w:val="28"/>
        </w:rPr>
        <w:t>limites</w:t>
      </w:r>
      <w:r w:rsidR="00EF5298" w:rsidRPr="00723A65">
        <w:rPr>
          <w:sz w:val="28"/>
          <w:szCs w:val="28"/>
        </w:rPr>
        <w:t>” da intervenção</w:t>
      </w:r>
      <w:r w:rsidR="006C1A1E" w:rsidRPr="00723A65">
        <w:rPr>
          <w:sz w:val="28"/>
          <w:szCs w:val="28"/>
        </w:rPr>
        <w:t xml:space="preserve"> do poder público. </w:t>
      </w:r>
    </w:p>
    <w:p w:rsidR="002942A0" w:rsidRPr="00723A65" w:rsidRDefault="00235D2A" w:rsidP="004C7D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 xml:space="preserve">Não surgindo estes conceitos sistemática e </w:t>
      </w:r>
      <w:r w:rsidR="0075469F">
        <w:rPr>
          <w:sz w:val="28"/>
          <w:szCs w:val="28"/>
        </w:rPr>
        <w:t>analitica</w:t>
      </w:r>
      <w:r w:rsidRPr="00723A65">
        <w:rPr>
          <w:sz w:val="28"/>
          <w:szCs w:val="28"/>
        </w:rPr>
        <w:t>mente interpre</w:t>
      </w:r>
      <w:r w:rsidR="0075469F">
        <w:rPr>
          <w:sz w:val="28"/>
          <w:szCs w:val="28"/>
        </w:rPr>
        <w:t>-</w:t>
      </w:r>
      <w:r w:rsidRPr="00723A65">
        <w:rPr>
          <w:sz w:val="28"/>
          <w:szCs w:val="28"/>
        </w:rPr>
        <w:t xml:space="preserve">tados </w:t>
      </w:r>
      <w:r w:rsidR="004C7D0C" w:rsidRPr="00723A65">
        <w:rPr>
          <w:sz w:val="28"/>
          <w:szCs w:val="28"/>
        </w:rPr>
        <w:t>e/</w:t>
      </w:r>
      <w:r w:rsidRPr="00723A65">
        <w:rPr>
          <w:sz w:val="28"/>
          <w:szCs w:val="28"/>
        </w:rPr>
        <w:t>ou construídos, consequentemente</w:t>
      </w:r>
      <w:r w:rsidR="00EF5298" w:rsidRPr="00723A65">
        <w:rPr>
          <w:sz w:val="28"/>
          <w:szCs w:val="28"/>
        </w:rPr>
        <w:t>,</w:t>
      </w:r>
      <w:r w:rsidRPr="00723A65">
        <w:rPr>
          <w:sz w:val="28"/>
          <w:szCs w:val="28"/>
        </w:rPr>
        <w:t xml:space="preserve"> </w:t>
      </w:r>
      <w:r w:rsidR="00065D9F" w:rsidRPr="00723A65">
        <w:rPr>
          <w:sz w:val="28"/>
          <w:szCs w:val="28"/>
        </w:rPr>
        <w:t xml:space="preserve">daí resulta </w:t>
      </w:r>
      <w:r w:rsidRPr="00723A65">
        <w:rPr>
          <w:sz w:val="28"/>
          <w:szCs w:val="28"/>
        </w:rPr>
        <w:t>a impossibilidade de aportar na delimitação do respectivo</w:t>
      </w:r>
      <w:r w:rsidR="00EF5298" w:rsidRPr="00723A65">
        <w:rPr>
          <w:sz w:val="28"/>
          <w:szCs w:val="28"/>
        </w:rPr>
        <w:t xml:space="preserve"> “conceito”</w:t>
      </w:r>
      <w:r w:rsidRPr="00723A65">
        <w:rPr>
          <w:sz w:val="28"/>
          <w:szCs w:val="28"/>
        </w:rPr>
        <w:t xml:space="preserve">. O mesmo se </w:t>
      </w:r>
      <w:r w:rsidR="00802D09" w:rsidRPr="00723A65">
        <w:rPr>
          <w:sz w:val="28"/>
          <w:szCs w:val="28"/>
        </w:rPr>
        <w:t xml:space="preserve">diga </w:t>
      </w:r>
      <w:r w:rsidRPr="00723A65">
        <w:rPr>
          <w:sz w:val="28"/>
          <w:szCs w:val="28"/>
        </w:rPr>
        <w:t xml:space="preserve">no que </w:t>
      </w:r>
      <w:r w:rsidR="00924B30" w:rsidRPr="00723A65">
        <w:rPr>
          <w:sz w:val="28"/>
          <w:szCs w:val="28"/>
        </w:rPr>
        <w:t>con</w:t>
      </w:r>
      <w:r w:rsidRPr="00723A65">
        <w:rPr>
          <w:sz w:val="28"/>
          <w:szCs w:val="28"/>
        </w:rPr>
        <w:t xml:space="preserve">cerne aos problemas de “inclusão” ou </w:t>
      </w:r>
      <w:r w:rsidR="00DE2EDB">
        <w:rPr>
          <w:sz w:val="28"/>
          <w:szCs w:val="28"/>
        </w:rPr>
        <w:t xml:space="preserve">de </w:t>
      </w:r>
      <w:r w:rsidRPr="00723A65">
        <w:rPr>
          <w:sz w:val="28"/>
          <w:szCs w:val="28"/>
        </w:rPr>
        <w:t>“exclusão”</w:t>
      </w:r>
      <w:r w:rsidR="00DE2EDB">
        <w:rPr>
          <w:sz w:val="28"/>
          <w:szCs w:val="28"/>
        </w:rPr>
        <w:t xml:space="preserve"> no espaço público</w:t>
      </w:r>
      <w:r w:rsidRPr="00723A65">
        <w:rPr>
          <w:sz w:val="28"/>
          <w:szCs w:val="28"/>
        </w:rPr>
        <w:t>.</w:t>
      </w:r>
      <w:r w:rsidR="004C7D0C" w:rsidRPr="00723A65">
        <w:rPr>
          <w:sz w:val="28"/>
          <w:szCs w:val="28"/>
        </w:rPr>
        <w:t xml:space="preserve"> </w:t>
      </w:r>
    </w:p>
    <w:p w:rsidR="00924B30" w:rsidRPr="00723A65" w:rsidRDefault="00235D2A" w:rsidP="004C7D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 xml:space="preserve">E por isso também </w:t>
      </w:r>
      <w:r w:rsidR="00DE2EDB">
        <w:rPr>
          <w:sz w:val="28"/>
          <w:szCs w:val="28"/>
        </w:rPr>
        <w:t xml:space="preserve">o candidato </w:t>
      </w:r>
      <w:r w:rsidRPr="00723A65">
        <w:rPr>
          <w:sz w:val="28"/>
          <w:szCs w:val="28"/>
        </w:rPr>
        <w:t xml:space="preserve">não consegue delimitar as </w:t>
      </w:r>
      <w:r w:rsidR="00DE2EDB">
        <w:rPr>
          <w:sz w:val="28"/>
          <w:szCs w:val="28"/>
        </w:rPr>
        <w:t>“</w:t>
      </w:r>
      <w:r w:rsidR="0075469F">
        <w:rPr>
          <w:sz w:val="28"/>
          <w:szCs w:val="28"/>
        </w:rPr>
        <w:t>ques</w:t>
      </w:r>
      <w:r w:rsidRPr="00723A65">
        <w:rPr>
          <w:sz w:val="28"/>
          <w:szCs w:val="28"/>
        </w:rPr>
        <w:t xml:space="preserve">tões </w:t>
      </w:r>
      <w:r w:rsidRPr="00723A65">
        <w:rPr>
          <w:sz w:val="28"/>
          <w:szCs w:val="28"/>
        </w:rPr>
        <w:lastRenderedPageBreak/>
        <w:t>de expressão</w:t>
      </w:r>
      <w:r w:rsidR="00DE2EDB">
        <w:rPr>
          <w:sz w:val="28"/>
          <w:szCs w:val="28"/>
        </w:rPr>
        <w:t>”</w:t>
      </w:r>
      <w:r w:rsidRPr="00723A65">
        <w:rPr>
          <w:sz w:val="28"/>
          <w:szCs w:val="28"/>
        </w:rPr>
        <w:t xml:space="preserve"> de u</w:t>
      </w:r>
      <w:r w:rsidR="004C7D0C" w:rsidRPr="00723A65">
        <w:rPr>
          <w:sz w:val="28"/>
          <w:szCs w:val="28"/>
        </w:rPr>
        <w:t>m</w:t>
      </w:r>
      <w:r w:rsidRPr="00723A65">
        <w:rPr>
          <w:sz w:val="28"/>
          <w:szCs w:val="28"/>
        </w:rPr>
        <w:t>a dada e determinada religião d</w:t>
      </w:r>
      <w:r w:rsidR="004C7D0C" w:rsidRPr="00723A65">
        <w:rPr>
          <w:sz w:val="28"/>
          <w:szCs w:val="28"/>
        </w:rPr>
        <w:t xml:space="preserve">o </w:t>
      </w:r>
      <w:r w:rsidR="00802D09" w:rsidRPr="00723A65">
        <w:rPr>
          <w:sz w:val="28"/>
          <w:szCs w:val="28"/>
        </w:rPr>
        <w:t>“</w:t>
      </w:r>
      <w:r w:rsidR="004C7D0C" w:rsidRPr="00723A65">
        <w:rPr>
          <w:sz w:val="28"/>
          <w:szCs w:val="28"/>
        </w:rPr>
        <w:t>d</w:t>
      </w:r>
      <w:r w:rsidRPr="00723A65">
        <w:rPr>
          <w:sz w:val="28"/>
          <w:szCs w:val="28"/>
        </w:rPr>
        <w:t>ireito geral à liber</w:t>
      </w:r>
      <w:r w:rsidR="00DE2EDB">
        <w:rPr>
          <w:sz w:val="28"/>
          <w:szCs w:val="28"/>
        </w:rPr>
        <w:t>-</w:t>
      </w:r>
      <w:r w:rsidRPr="00723A65">
        <w:rPr>
          <w:sz w:val="28"/>
          <w:szCs w:val="28"/>
        </w:rPr>
        <w:t>dade de expres</w:t>
      </w:r>
      <w:r w:rsidR="00EF5298" w:rsidRPr="00723A65">
        <w:rPr>
          <w:sz w:val="28"/>
          <w:szCs w:val="28"/>
        </w:rPr>
        <w:t>são</w:t>
      </w:r>
      <w:r w:rsidR="00802D09" w:rsidRPr="00723A65">
        <w:rPr>
          <w:sz w:val="28"/>
          <w:szCs w:val="28"/>
        </w:rPr>
        <w:t>”</w:t>
      </w:r>
      <w:r w:rsidR="00DE2EDB" w:rsidRPr="00DE2EDB">
        <w:rPr>
          <w:rStyle w:val="Refdenotaderodap"/>
          <w:rFonts w:eastAsiaTheme="majorEastAsia"/>
          <w:sz w:val="28"/>
          <w:szCs w:val="28"/>
        </w:rPr>
        <w:t xml:space="preserve"> </w:t>
      </w:r>
      <w:r w:rsidR="00DE2EDB" w:rsidRPr="00723A65">
        <w:rPr>
          <w:rStyle w:val="Refdenotaderodap"/>
          <w:rFonts w:eastAsiaTheme="majorEastAsia"/>
          <w:sz w:val="28"/>
          <w:szCs w:val="28"/>
        </w:rPr>
        <w:footnoteReference w:id="4"/>
      </w:r>
      <w:r w:rsidR="00EF5298" w:rsidRPr="00723A65">
        <w:rPr>
          <w:sz w:val="28"/>
          <w:szCs w:val="28"/>
        </w:rPr>
        <w:t xml:space="preserve">. Em </w:t>
      </w:r>
      <w:r w:rsidR="00924B30" w:rsidRPr="00723A65">
        <w:rPr>
          <w:sz w:val="28"/>
          <w:szCs w:val="28"/>
        </w:rPr>
        <w:t>con</w:t>
      </w:r>
      <w:r w:rsidR="00EF5298" w:rsidRPr="00723A65">
        <w:rPr>
          <w:sz w:val="28"/>
          <w:szCs w:val="28"/>
        </w:rPr>
        <w:t>creto, o</w:t>
      </w:r>
      <w:r w:rsidR="004C7D0C" w:rsidRPr="00723A65">
        <w:rPr>
          <w:sz w:val="28"/>
          <w:szCs w:val="28"/>
        </w:rPr>
        <w:t xml:space="preserve"> exercício desse direito</w:t>
      </w:r>
      <w:r w:rsidR="00EF5298" w:rsidRPr="00723A65">
        <w:rPr>
          <w:sz w:val="28"/>
          <w:szCs w:val="28"/>
        </w:rPr>
        <w:t xml:space="preserve"> à liberdade de exercício de uma determinada religião </w:t>
      </w:r>
      <w:r w:rsidR="00065D9F" w:rsidRPr="00723A65">
        <w:rPr>
          <w:sz w:val="28"/>
          <w:szCs w:val="28"/>
        </w:rPr>
        <w:t xml:space="preserve">ou crença </w:t>
      </w:r>
      <w:r w:rsidR="004C7D0C" w:rsidRPr="00723A65">
        <w:rPr>
          <w:sz w:val="28"/>
          <w:szCs w:val="28"/>
        </w:rPr>
        <w:t xml:space="preserve">compreende não apenas a liberdade de </w:t>
      </w:r>
      <w:r w:rsidR="00065D9F" w:rsidRPr="00723A65">
        <w:rPr>
          <w:sz w:val="28"/>
          <w:szCs w:val="28"/>
        </w:rPr>
        <w:t>“</w:t>
      </w:r>
      <w:r w:rsidR="004C7D0C" w:rsidRPr="00723A65">
        <w:rPr>
          <w:sz w:val="28"/>
          <w:szCs w:val="28"/>
        </w:rPr>
        <w:t>auto-determinação</w:t>
      </w:r>
      <w:r w:rsidR="00065D9F" w:rsidRPr="00723A65">
        <w:rPr>
          <w:sz w:val="28"/>
          <w:szCs w:val="28"/>
        </w:rPr>
        <w:t>”</w:t>
      </w:r>
      <w:r w:rsidR="004C7D0C" w:rsidRPr="00723A65">
        <w:rPr>
          <w:sz w:val="28"/>
          <w:szCs w:val="28"/>
        </w:rPr>
        <w:t xml:space="preserve"> das instituições e comunidades religio</w:t>
      </w:r>
      <w:r w:rsidR="0075469F">
        <w:rPr>
          <w:sz w:val="28"/>
          <w:szCs w:val="28"/>
        </w:rPr>
        <w:t>-</w:t>
      </w:r>
      <w:r w:rsidR="004C7D0C" w:rsidRPr="00723A65">
        <w:rPr>
          <w:sz w:val="28"/>
          <w:szCs w:val="28"/>
        </w:rPr>
        <w:t xml:space="preserve">sas, os seus usos religiosos, as suas formas de vida, mas também o direito de difundir, pela palavra, por escrito ou outras actividades de comunicação a sua fé ou crença no </w:t>
      </w:r>
      <w:r w:rsidR="004C7D0C" w:rsidRPr="00723A65">
        <w:rPr>
          <w:i/>
          <w:sz w:val="28"/>
          <w:szCs w:val="28"/>
        </w:rPr>
        <w:t>espaço público</w:t>
      </w:r>
      <w:r w:rsidR="004C7D0C" w:rsidRPr="00723A65">
        <w:rPr>
          <w:sz w:val="28"/>
          <w:szCs w:val="28"/>
        </w:rPr>
        <w:t xml:space="preserve"> sem quaisquer interferências externas, isto é, sem intromissões ou obstruções por parte do Estado e outras insti</w:t>
      </w:r>
      <w:r w:rsidR="0075469F">
        <w:rPr>
          <w:sz w:val="28"/>
          <w:szCs w:val="28"/>
        </w:rPr>
        <w:t>-</w:t>
      </w:r>
      <w:r w:rsidR="004C7D0C" w:rsidRPr="00723A65">
        <w:rPr>
          <w:sz w:val="28"/>
          <w:szCs w:val="28"/>
        </w:rPr>
        <w:t>tuições, públicas ou privadas</w:t>
      </w:r>
      <w:r w:rsidR="00065D9F" w:rsidRPr="00723A65">
        <w:rPr>
          <w:sz w:val="28"/>
          <w:szCs w:val="28"/>
        </w:rPr>
        <w:t>, ou mesmo</w:t>
      </w:r>
      <w:r w:rsidR="00EF5298" w:rsidRPr="00723A65">
        <w:rPr>
          <w:sz w:val="28"/>
          <w:szCs w:val="28"/>
        </w:rPr>
        <w:t xml:space="preserve"> de terceiros</w:t>
      </w:r>
      <w:r w:rsidR="004C7D0C" w:rsidRPr="00723A65">
        <w:rPr>
          <w:sz w:val="28"/>
          <w:szCs w:val="28"/>
        </w:rPr>
        <w:t xml:space="preserve">. </w:t>
      </w:r>
    </w:p>
    <w:p w:rsidR="00065D9F" w:rsidRPr="00723A65" w:rsidRDefault="004C7D0C" w:rsidP="004C7D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 xml:space="preserve">Ora, é neste aspecto que a juspublicística, sobretudo de proveniência norte-americana, compreende, tradicionalmente, o </w:t>
      </w:r>
      <w:r w:rsidR="00802D09" w:rsidRPr="00723A65">
        <w:rPr>
          <w:sz w:val="28"/>
          <w:szCs w:val="28"/>
        </w:rPr>
        <w:t>“</w:t>
      </w:r>
      <w:r w:rsidRPr="00723A65">
        <w:rPr>
          <w:sz w:val="28"/>
          <w:szCs w:val="28"/>
        </w:rPr>
        <w:t>direito geral à liberdade de consciência e religião</w:t>
      </w:r>
      <w:r w:rsidR="00802D09" w:rsidRPr="00723A65">
        <w:rPr>
          <w:sz w:val="28"/>
          <w:szCs w:val="28"/>
        </w:rPr>
        <w:t>”</w:t>
      </w:r>
      <w:r w:rsidRPr="00723A65">
        <w:rPr>
          <w:sz w:val="28"/>
          <w:szCs w:val="28"/>
        </w:rPr>
        <w:t xml:space="preserve"> no quadro mais vasto do </w:t>
      </w:r>
      <w:r w:rsidR="00802D09" w:rsidRPr="00723A65">
        <w:rPr>
          <w:sz w:val="28"/>
          <w:szCs w:val="28"/>
        </w:rPr>
        <w:t>“</w:t>
      </w:r>
      <w:r w:rsidRPr="00723A65">
        <w:rPr>
          <w:sz w:val="28"/>
          <w:szCs w:val="28"/>
        </w:rPr>
        <w:t>direito geral à liber</w:t>
      </w:r>
      <w:r w:rsidR="0075469F">
        <w:rPr>
          <w:sz w:val="28"/>
          <w:szCs w:val="28"/>
        </w:rPr>
        <w:t>-</w:t>
      </w:r>
      <w:r w:rsidRPr="00723A65">
        <w:rPr>
          <w:sz w:val="28"/>
          <w:szCs w:val="28"/>
        </w:rPr>
        <w:t>dade de exp</w:t>
      </w:r>
      <w:r w:rsidR="00065D9F" w:rsidRPr="00723A65">
        <w:rPr>
          <w:sz w:val="28"/>
          <w:szCs w:val="28"/>
        </w:rPr>
        <w:t>res</w:t>
      </w:r>
      <w:r w:rsidR="00924B30" w:rsidRPr="00723A65">
        <w:rPr>
          <w:sz w:val="28"/>
          <w:szCs w:val="28"/>
        </w:rPr>
        <w:t>são, comunicação e</w:t>
      </w:r>
      <w:r w:rsidR="00065D9F" w:rsidRPr="00723A65">
        <w:rPr>
          <w:sz w:val="28"/>
          <w:szCs w:val="28"/>
        </w:rPr>
        <w:t xml:space="preserve"> informação</w:t>
      </w:r>
      <w:r w:rsidR="00802D09" w:rsidRPr="00723A65">
        <w:rPr>
          <w:sz w:val="28"/>
          <w:szCs w:val="28"/>
        </w:rPr>
        <w:t>”</w:t>
      </w:r>
      <w:r w:rsidR="00065D9F" w:rsidRPr="00723A65">
        <w:rPr>
          <w:sz w:val="28"/>
          <w:szCs w:val="28"/>
        </w:rPr>
        <w:t xml:space="preserve">, </w:t>
      </w:r>
      <w:r w:rsidRPr="00723A65">
        <w:rPr>
          <w:sz w:val="28"/>
          <w:szCs w:val="28"/>
        </w:rPr>
        <w:t xml:space="preserve">consagrados na Emenda I. </w:t>
      </w:r>
      <w:r w:rsidR="00065D9F" w:rsidRPr="00723A65">
        <w:rPr>
          <w:sz w:val="28"/>
          <w:szCs w:val="28"/>
        </w:rPr>
        <w:t>São est</w:t>
      </w:r>
      <w:r w:rsidRPr="00723A65">
        <w:rPr>
          <w:sz w:val="28"/>
          <w:szCs w:val="28"/>
        </w:rPr>
        <w:t xml:space="preserve">es elementos de </w:t>
      </w:r>
      <w:r w:rsidR="00065D9F" w:rsidRPr="00723A65">
        <w:rPr>
          <w:sz w:val="28"/>
          <w:szCs w:val="28"/>
        </w:rPr>
        <w:t>“</w:t>
      </w:r>
      <w:r w:rsidRPr="00723A65">
        <w:rPr>
          <w:sz w:val="28"/>
          <w:szCs w:val="28"/>
        </w:rPr>
        <w:t>sociabilidade</w:t>
      </w:r>
      <w:r w:rsidR="00065D9F" w:rsidRPr="00723A65">
        <w:rPr>
          <w:sz w:val="28"/>
          <w:szCs w:val="28"/>
        </w:rPr>
        <w:t>”</w:t>
      </w:r>
      <w:r w:rsidRPr="00723A65">
        <w:rPr>
          <w:sz w:val="28"/>
          <w:szCs w:val="28"/>
        </w:rPr>
        <w:t xml:space="preserve"> e </w:t>
      </w:r>
      <w:r w:rsidR="00065D9F" w:rsidRPr="00723A65">
        <w:rPr>
          <w:sz w:val="28"/>
          <w:szCs w:val="28"/>
        </w:rPr>
        <w:t>“</w:t>
      </w:r>
      <w:r w:rsidRPr="00723A65">
        <w:rPr>
          <w:sz w:val="28"/>
          <w:szCs w:val="28"/>
        </w:rPr>
        <w:t>comunicabilidade</w:t>
      </w:r>
      <w:r w:rsidR="00065D9F" w:rsidRPr="00723A65">
        <w:rPr>
          <w:sz w:val="28"/>
          <w:szCs w:val="28"/>
        </w:rPr>
        <w:t>”</w:t>
      </w:r>
      <w:r w:rsidRPr="00723A65">
        <w:rPr>
          <w:sz w:val="28"/>
          <w:szCs w:val="28"/>
        </w:rPr>
        <w:t xml:space="preserve">, requeridos pela necessidade de uma vivência em comum, o que força, no limite, a que o Estado tenha de regular não a religião, mas o </w:t>
      </w:r>
      <w:r w:rsidRPr="00723A65">
        <w:rPr>
          <w:i/>
          <w:sz w:val="28"/>
          <w:szCs w:val="28"/>
        </w:rPr>
        <w:t>estatuto jurídico da liber</w:t>
      </w:r>
      <w:r w:rsidR="00BF5ED7">
        <w:rPr>
          <w:i/>
          <w:sz w:val="28"/>
          <w:szCs w:val="28"/>
        </w:rPr>
        <w:t>-</w:t>
      </w:r>
      <w:r w:rsidRPr="00723A65">
        <w:rPr>
          <w:i/>
          <w:sz w:val="28"/>
          <w:szCs w:val="28"/>
        </w:rPr>
        <w:t>dade religiosa</w:t>
      </w:r>
      <w:r w:rsidRPr="00723A65">
        <w:rPr>
          <w:sz w:val="28"/>
          <w:szCs w:val="28"/>
        </w:rPr>
        <w:t xml:space="preserve">. </w:t>
      </w:r>
    </w:p>
    <w:p w:rsidR="00924B30" w:rsidRPr="00723A65" w:rsidRDefault="00924B30" w:rsidP="004C7D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F5298" w:rsidRPr="00723A65" w:rsidRDefault="00802D09" w:rsidP="004C7D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>4</w:t>
      </w:r>
      <w:r w:rsidR="00924B30" w:rsidRPr="00723A65">
        <w:rPr>
          <w:sz w:val="28"/>
          <w:szCs w:val="28"/>
        </w:rPr>
        <w:t xml:space="preserve">. </w:t>
      </w:r>
      <w:r w:rsidR="00065D9F" w:rsidRPr="00723A65">
        <w:rPr>
          <w:sz w:val="28"/>
          <w:szCs w:val="28"/>
        </w:rPr>
        <w:t xml:space="preserve">É certo que a </w:t>
      </w:r>
      <w:r w:rsidR="004C7D0C" w:rsidRPr="00723A65">
        <w:rPr>
          <w:sz w:val="28"/>
          <w:szCs w:val="28"/>
        </w:rPr>
        <w:t>liberdade</w:t>
      </w:r>
      <w:r w:rsidR="00065D9F" w:rsidRPr="00723A65">
        <w:rPr>
          <w:sz w:val="28"/>
          <w:szCs w:val="28"/>
        </w:rPr>
        <w:t xml:space="preserve"> geral</w:t>
      </w:r>
      <w:r w:rsidR="004C7D0C" w:rsidRPr="00723A65">
        <w:rPr>
          <w:sz w:val="28"/>
          <w:szCs w:val="28"/>
        </w:rPr>
        <w:t xml:space="preserve"> de </w:t>
      </w:r>
      <w:r w:rsidR="00065D9F" w:rsidRPr="00723A65">
        <w:rPr>
          <w:sz w:val="28"/>
          <w:szCs w:val="28"/>
        </w:rPr>
        <w:t>consciência, religião e culto, se manifesta como</w:t>
      </w:r>
      <w:r w:rsidR="004C7D0C" w:rsidRPr="00723A65">
        <w:rPr>
          <w:sz w:val="28"/>
          <w:szCs w:val="28"/>
        </w:rPr>
        <w:t xml:space="preserve"> um direito de recorte individual. Mas não</w:t>
      </w:r>
      <w:r w:rsidR="00EF5298" w:rsidRPr="00723A65">
        <w:rPr>
          <w:sz w:val="28"/>
          <w:szCs w:val="28"/>
        </w:rPr>
        <w:t xml:space="preserve"> deixa de possuir uma dimensão “colectiva”</w:t>
      </w:r>
      <w:r w:rsidR="004C7D0C" w:rsidRPr="00723A65">
        <w:rPr>
          <w:sz w:val="28"/>
          <w:szCs w:val="28"/>
        </w:rPr>
        <w:t xml:space="preserve"> na sua expressão por intermediação dos grupos ou comunidades </w:t>
      </w:r>
      <w:r w:rsidR="00065D9F" w:rsidRPr="00723A65">
        <w:rPr>
          <w:sz w:val="28"/>
          <w:szCs w:val="28"/>
        </w:rPr>
        <w:t xml:space="preserve">religiosas </w:t>
      </w:r>
      <w:r w:rsidR="004C7D0C" w:rsidRPr="00723A65">
        <w:rPr>
          <w:sz w:val="28"/>
          <w:szCs w:val="28"/>
        </w:rPr>
        <w:t xml:space="preserve">estabelecidas. E se outrora o </w:t>
      </w:r>
      <w:r w:rsidR="00BF5ED7">
        <w:rPr>
          <w:sz w:val="28"/>
          <w:szCs w:val="28"/>
        </w:rPr>
        <w:t>con</w:t>
      </w:r>
      <w:r w:rsidR="004C7D0C" w:rsidRPr="00723A65">
        <w:rPr>
          <w:sz w:val="28"/>
          <w:szCs w:val="28"/>
        </w:rPr>
        <w:t>junto das Igrejas, mormente após a Reforma e a Contra-Reforma, assumi</w:t>
      </w:r>
      <w:r w:rsidR="00BF5ED7">
        <w:rPr>
          <w:sz w:val="28"/>
          <w:szCs w:val="28"/>
        </w:rPr>
        <w:t>r</w:t>
      </w:r>
      <w:r w:rsidR="004C7D0C" w:rsidRPr="00723A65">
        <w:rPr>
          <w:sz w:val="28"/>
          <w:szCs w:val="28"/>
        </w:rPr>
        <w:t xml:space="preserve">am formas que </w:t>
      </w:r>
      <w:r w:rsidR="00DE2EDB" w:rsidRPr="00723A65">
        <w:rPr>
          <w:sz w:val="28"/>
          <w:szCs w:val="28"/>
        </w:rPr>
        <w:t>pode</w:t>
      </w:r>
      <w:r w:rsidR="00DE2EDB">
        <w:rPr>
          <w:sz w:val="28"/>
          <w:szCs w:val="28"/>
        </w:rPr>
        <w:t>ría</w:t>
      </w:r>
      <w:r w:rsidR="00DE2EDB" w:rsidRPr="00723A65">
        <w:rPr>
          <w:sz w:val="28"/>
          <w:szCs w:val="28"/>
        </w:rPr>
        <w:t>mos</w:t>
      </w:r>
      <w:r w:rsidR="004C7D0C" w:rsidRPr="00723A65">
        <w:rPr>
          <w:sz w:val="28"/>
          <w:szCs w:val="28"/>
        </w:rPr>
        <w:t xml:space="preserve"> considerar hoje </w:t>
      </w:r>
      <w:r w:rsidR="00EF5298" w:rsidRPr="00723A65">
        <w:rPr>
          <w:sz w:val="28"/>
          <w:szCs w:val="28"/>
        </w:rPr>
        <w:t>“tradicionais”</w:t>
      </w:r>
      <w:r w:rsidR="004C7D0C" w:rsidRPr="00723A65">
        <w:rPr>
          <w:sz w:val="28"/>
          <w:szCs w:val="28"/>
        </w:rPr>
        <w:t xml:space="preserve">, o mesmo não poderá dizer-se do conjunto das seitas e dos novos movimentos religiosos. </w:t>
      </w:r>
    </w:p>
    <w:p w:rsidR="00924B30" w:rsidRPr="00723A65" w:rsidRDefault="004C7D0C" w:rsidP="004C7D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>Mais ainda: a liberdade de consciência</w:t>
      </w:r>
      <w:r w:rsidR="00065D9F" w:rsidRPr="00723A65">
        <w:rPr>
          <w:sz w:val="28"/>
          <w:szCs w:val="28"/>
        </w:rPr>
        <w:t>, religião e culto</w:t>
      </w:r>
      <w:r w:rsidRPr="00723A65">
        <w:rPr>
          <w:sz w:val="28"/>
          <w:szCs w:val="28"/>
        </w:rPr>
        <w:t xml:space="preserve"> pode não se reportar exclusivamente a matérias de índole teológica ou soteriológica, </w:t>
      </w:r>
      <w:r w:rsidR="00583E2B" w:rsidRPr="00723A65">
        <w:rPr>
          <w:sz w:val="28"/>
          <w:szCs w:val="28"/>
        </w:rPr>
        <w:lastRenderedPageBreak/>
        <w:t>abarcando</w:t>
      </w:r>
      <w:r w:rsidRPr="00723A65">
        <w:rPr>
          <w:sz w:val="28"/>
          <w:szCs w:val="28"/>
        </w:rPr>
        <w:t xml:space="preserve"> ainda concepções a-religiosas e, designadamente, mundivi</w:t>
      </w:r>
      <w:r w:rsidR="00BF5ED7">
        <w:rPr>
          <w:sz w:val="28"/>
          <w:szCs w:val="28"/>
        </w:rPr>
        <w:t>-</w:t>
      </w:r>
      <w:r w:rsidRPr="00723A65">
        <w:rPr>
          <w:sz w:val="28"/>
          <w:szCs w:val="28"/>
        </w:rPr>
        <w:t xml:space="preserve">denciais. </w:t>
      </w:r>
    </w:p>
    <w:p w:rsidR="00065D9F" w:rsidRPr="00723A65" w:rsidRDefault="004C7D0C" w:rsidP="004C7D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>Tudo isto são questões pertinentes para as quais não se encontrou</w:t>
      </w:r>
      <w:r w:rsidR="0011388C" w:rsidRPr="00723A65">
        <w:rPr>
          <w:sz w:val="28"/>
          <w:szCs w:val="28"/>
        </w:rPr>
        <w:t xml:space="preserve"> no </w:t>
      </w:r>
      <w:r w:rsidR="00DE2EDB">
        <w:rPr>
          <w:sz w:val="28"/>
          <w:szCs w:val="28"/>
        </w:rPr>
        <w:t xml:space="preserve">“relatório” do candidato </w:t>
      </w:r>
      <w:r w:rsidRPr="00723A65">
        <w:rPr>
          <w:sz w:val="28"/>
          <w:szCs w:val="28"/>
        </w:rPr>
        <w:t xml:space="preserve">uma resposta adequada. </w:t>
      </w:r>
    </w:p>
    <w:p w:rsidR="00924B30" w:rsidRPr="00723A65" w:rsidRDefault="00924B30" w:rsidP="004C7D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2272" w:rsidRPr="00723A65" w:rsidRDefault="00802D09" w:rsidP="004C7D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 xml:space="preserve">5. Por outro lado, o </w:t>
      </w:r>
      <w:r w:rsidR="00942272" w:rsidRPr="00723A65">
        <w:rPr>
          <w:sz w:val="28"/>
          <w:szCs w:val="28"/>
        </w:rPr>
        <w:t>princípio da separaç</w:t>
      </w:r>
      <w:r w:rsidR="004C7D0C" w:rsidRPr="00723A65">
        <w:rPr>
          <w:sz w:val="28"/>
          <w:szCs w:val="28"/>
        </w:rPr>
        <w:t>ão das Igrejas do Estado ou de “não envolvimento”</w:t>
      </w:r>
      <w:r w:rsidR="00942272" w:rsidRPr="00723A65">
        <w:rPr>
          <w:sz w:val="28"/>
          <w:szCs w:val="28"/>
        </w:rPr>
        <w:t xml:space="preserve"> </w:t>
      </w:r>
      <w:r w:rsidR="0011388C" w:rsidRPr="00723A65">
        <w:rPr>
          <w:sz w:val="28"/>
          <w:szCs w:val="28"/>
        </w:rPr>
        <w:t xml:space="preserve">entre o Estado e as diferentes Igrejas (: “teoria da separação estrita”) </w:t>
      </w:r>
      <w:r w:rsidR="00942272" w:rsidRPr="00723A65">
        <w:rPr>
          <w:sz w:val="28"/>
          <w:szCs w:val="28"/>
        </w:rPr>
        <w:t>em assuntos de natureza religiosa ou confessional estende-se</w:t>
      </w:r>
      <w:r w:rsidRPr="00723A65">
        <w:rPr>
          <w:sz w:val="28"/>
          <w:szCs w:val="28"/>
        </w:rPr>
        <w:t xml:space="preserve"> </w:t>
      </w:r>
      <w:r w:rsidR="00942272" w:rsidRPr="00723A65">
        <w:rPr>
          <w:sz w:val="28"/>
          <w:szCs w:val="28"/>
        </w:rPr>
        <w:t xml:space="preserve">à esfera política. Na sua origem, encontrava-se um problema de </w:t>
      </w:r>
      <w:r w:rsidR="00942272" w:rsidRPr="00723A65">
        <w:rPr>
          <w:i/>
          <w:sz w:val="28"/>
          <w:szCs w:val="28"/>
        </w:rPr>
        <w:t>legitimidade</w:t>
      </w:r>
      <w:r w:rsidR="00942272" w:rsidRPr="00723A65">
        <w:rPr>
          <w:sz w:val="28"/>
          <w:szCs w:val="28"/>
        </w:rPr>
        <w:t>. A autoridade do Estado não podia reclamar-se de princípios de verdade objectiva, pertencentes a uma qualquer concepção teológico-</w:t>
      </w:r>
      <w:r w:rsidR="00924B30" w:rsidRPr="00723A65">
        <w:rPr>
          <w:sz w:val="28"/>
          <w:szCs w:val="28"/>
        </w:rPr>
        <w:t>con</w:t>
      </w:r>
      <w:r w:rsidR="00942272" w:rsidRPr="00723A65">
        <w:rPr>
          <w:sz w:val="28"/>
          <w:szCs w:val="28"/>
        </w:rPr>
        <w:t xml:space="preserve">fessional, mas de princípios representativo-democráticos, firmados no </w:t>
      </w:r>
      <w:r w:rsidR="00BF5ED7">
        <w:rPr>
          <w:i/>
          <w:sz w:val="28"/>
          <w:szCs w:val="28"/>
        </w:rPr>
        <w:t>con</w:t>
      </w:r>
      <w:r w:rsidR="00942272" w:rsidRPr="00723A65">
        <w:rPr>
          <w:i/>
          <w:sz w:val="28"/>
          <w:szCs w:val="28"/>
        </w:rPr>
        <w:t>sentimento</w:t>
      </w:r>
      <w:r w:rsidR="00942272" w:rsidRPr="00723A65">
        <w:rPr>
          <w:sz w:val="28"/>
          <w:szCs w:val="28"/>
        </w:rPr>
        <w:t xml:space="preserve"> e no </w:t>
      </w:r>
      <w:r w:rsidR="00942272" w:rsidRPr="00723A65">
        <w:rPr>
          <w:i/>
          <w:sz w:val="28"/>
          <w:szCs w:val="28"/>
        </w:rPr>
        <w:t>discurso jurídico-público crítico</w:t>
      </w:r>
      <w:r w:rsidR="00942272" w:rsidRPr="00723A65">
        <w:rPr>
          <w:sz w:val="28"/>
          <w:szCs w:val="28"/>
        </w:rPr>
        <w:t xml:space="preserve">. </w:t>
      </w:r>
    </w:p>
    <w:p w:rsidR="00924B30" w:rsidRPr="00723A65" w:rsidRDefault="00942272" w:rsidP="004C7D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>A separação das Igrejas do Estado vem então interpretada como um acto de “voluntarismo” e “não-envolvimento”. O Estado não deve imiscuir-se nos assuntos religiosos ou fazer derivar a sua autoridade de fontes reli</w:t>
      </w:r>
      <w:r w:rsidR="00924B30" w:rsidRPr="00723A65">
        <w:rPr>
          <w:sz w:val="28"/>
          <w:szCs w:val="28"/>
        </w:rPr>
        <w:t>-</w:t>
      </w:r>
      <w:r w:rsidRPr="00723A65">
        <w:rPr>
          <w:sz w:val="28"/>
          <w:szCs w:val="28"/>
        </w:rPr>
        <w:t>giosas, do mesmo modo que às instituições religiosas não devem ser re</w:t>
      </w:r>
      <w:r w:rsidR="00BF5ED7">
        <w:rPr>
          <w:sz w:val="28"/>
          <w:szCs w:val="28"/>
        </w:rPr>
        <w:t>-</w:t>
      </w:r>
      <w:r w:rsidRPr="00723A65">
        <w:rPr>
          <w:sz w:val="28"/>
          <w:szCs w:val="28"/>
        </w:rPr>
        <w:t xml:space="preserve">conhecidos poderes de natureza pública. </w:t>
      </w:r>
    </w:p>
    <w:p w:rsidR="00942272" w:rsidRPr="00723A65" w:rsidRDefault="0011388C" w:rsidP="004C7D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>A separação “estrita”</w:t>
      </w:r>
      <w:r w:rsidR="00942272" w:rsidRPr="00723A65">
        <w:rPr>
          <w:sz w:val="28"/>
          <w:szCs w:val="28"/>
        </w:rPr>
        <w:t xml:space="preserve"> significa</w:t>
      </w:r>
      <w:r w:rsidR="00924B30" w:rsidRPr="00723A65">
        <w:rPr>
          <w:sz w:val="28"/>
          <w:szCs w:val="28"/>
        </w:rPr>
        <w:t>, então,</w:t>
      </w:r>
      <w:r w:rsidR="00065D9F" w:rsidRPr="00723A65">
        <w:rPr>
          <w:sz w:val="28"/>
          <w:szCs w:val="28"/>
        </w:rPr>
        <w:t xml:space="preserve"> </w:t>
      </w:r>
      <w:r w:rsidRPr="00723A65">
        <w:rPr>
          <w:sz w:val="28"/>
          <w:szCs w:val="28"/>
        </w:rPr>
        <w:t>que o Estado não pode</w:t>
      </w:r>
      <w:r w:rsidR="00942272" w:rsidRPr="00723A65">
        <w:rPr>
          <w:sz w:val="28"/>
          <w:szCs w:val="28"/>
        </w:rPr>
        <w:t xml:space="preserve"> “aju</w:t>
      </w:r>
      <w:r w:rsidR="00BF5ED7">
        <w:rPr>
          <w:sz w:val="28"/>
          <w:szCs w:val="28"/>
        </w:rPr>
        <w:t>-</w:t>
      </w:r>
      <w:r w:rsidR="00942272" w:rsidRPr="00723A65">
        <w:rPr>
          <w:sz w:val="28"/>
          <w:szCs w:val="28"/>
        </w:rPr>
        <w:t>dar” as Igrejas. Só que a formulação jur</w:t>
      </w:r>
      <w:r w:rsidRPr="00723A65">
        <w:rPr>
          <w:sz w:val="28"/>
          <w:szCs w:val="28"/>
        </w:rPr>
        <w:t>ídico-</w:t>
      </w:r>
      <w:r w:rsidR="00924B30" w:rsidRPr="00723A65">
        <w:rPr>
          <w:sz w:val="28"/>
          <w:szCs w:val="28"/>
        </w:rPr>
        <w:t>constitucional</w:t>
      </w:r>
      <w:r w:rsidRPr="00723A65">
        <w:rPr>
          <w:sz w:val="28"/>
          <w:szCs w:val="28"/>
        </w:rPr>
        <w:t xml:space="preserve"> do conceito de “não-ajuda”</w:t>
      </w:r>
      <w:r w:rsidR="00942272" w:rsidRPr="00723A65">
        <w:rPr>
          <w:sz w:val="28"/>
          <w:szCs w:val="28"/>
        </w:rPr>
        <w:t xml:space="preserve"> permanece</w:t>
      </w:r>
      <w:r w:rsidR="00924B30" w:rsidRPr="00723A65">
        <w:rPr>
          <w:sz w:val="28"/>
          <w:szCs w:val="28"/>
        </w:rPr>
        <w:t>,</w:t>
      </w:r>
      <w:r w:rsidR="00942272" w:rsidRPr="00723A65">
        <w:rPr>
          <w:sz w:val="28"/>
          <w:szCs w:val="28"/>
        </w:rPr>
        <w:t xml:space="preserve"> ainda hoje</w:t>
      </w:r>
      <w:r w:rsidR="00924B30" w:rsidRPr="00723A65">
        <w:rPr>
          <w:sz w:val="28"/>
          <w:szCs w:val="28"/>
        </w:rPr>
        <w:t>,</w:t>
      </w:r>
      <w:r w:rsidR="00942272" w:rsidRPr="00723A65">
        <w:rPr>
          <w:sz w:val="28"/>
          <w:szCs w:val="28"/>
        </w:rPr>
        <w:t xml:space="preserve"> nebulosa e</w:t>
      </w:r>
      <w:r w:rsidRPr="00723A65">
        <w:rPr>
          <w:sz w:val="28"/>
          <w:szCs w:val="28"/>
        </w:rPr>
        <w:t xml:space="preserve"> de difícil definição</w:t>
      </w:r>
      <w:r w:rsidR="00942272" w:rsidRPr="00723A65">
        <w:rPr>
          <w:sz w:val="28"/>
          <w:szCs w:val="28"/>
        </w:rPr>
        <w:t>. A di</w:t>
      </w:r>
      <w:r w:rsidR="00BF5ED7">
        <w:rPr>
          <w:sz w:val="28"/>
          <w:szCs w:val="28"/>
        </w:rPr>
        <w:t>-</w:t>
      </w:r>
      <w:r w:rsidR="00942272" w:rsidRPr="00723A65">
        <w:rPr>
          <w:sz w:val="28"/>
          <w:szCs w:val="28"/>
        </w:rPr>
        <w:t xml:space="preserve">ficuldade em especificar primeiro, e concretizar depois, gerou e continua a gerar inúmeras dificuldades e conflitos. </w:t>
      </w:r>
    </w:p>
    <w:p w:rsidR="004C7D0C" w:rsidRPr="00723A65" w:rsidRDefault="004C7D0C" w:rsidP="004C7D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5D9F" w:rsidRPr="00723A65" w:rsidRDefault="00802D09" w:rsidP="004C7D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>6</w:t>
      </w:r>
      <w:r w:rsidR="00924B30" w:rsidRPr="00723A65">
        <w:rPr>
          <w:sz w:val="28"/>
          <w:szCs w:val="28"/>
        </w:rPr>
        <w:t xml:space="preserve">. </w:t>
      </w:r>
      <w:r w:rsidR="00942272" w:rsidRPr="00723A65">
        <w:rPr>
          <w:sz w:val="28"/>
          <w:szCs w:val="28"/>
        </w:rPr>
        <w:t>Mas tal como ocorre com o exercício desses direitos e liberdades, podem também</w:t>
      </w:r>
      <w:r w:rsidR="00924B30" w:rsidRPr="00723A65">
        <w:rPr>
          <w:sz w:val="28"/>
          <w:szCs w:val="28"/>
        </w:rPr>
        <w:t xml:space="preserve"> surgir</w:t>
      </w:r>
      <w:r w:rsidR="00942272" w:rsidRPr="00723A65">
        <w:rPr>
          <w:sz w:val="28"/>
          <w:szCs w:val="28"/>
        </w:rPr>
        <w:t xml:space="preserve"> conflitos entre a autoridade do Estado e os direitos de natureza individual ou colectiva. KANT resolveu este problema pelo recurso ao conc</w:t>
      </w:r>
      <w:r w:rsidR="0011388C" w:rsidRPr="00723A65">
        <w:rPr>
          <w:sz w:val="28"/>
          <w:szCs w:val="28"/>
        </w:rPr>
        <w:t>eito de “direitos de terceiros”</w:t>
      </w:r>
      <w:r w:rsidR="00942272" w:rsidRPr="00723A65">
        <w:rPr>
          <w:sz w:val="28"/>
          <w:szCs w:val="28"/>
        </w:rPr>
        <w:t xml:space="preserve">: os limites ao exercício da liberdade religiosa terminam quando afectam ou obstaculizam a liberdade </w:t>
      </w:r>
      <w:r w:rsidR="00942272" w:rsidRPr="00723A65">
        <w:rPr>
          <w:sz w:val="28"/>
          <w:szCs w:val="28"/>
        </w:rPr>
        <w:lastRenderedPageBreak/>
        <w:t>dos outros.</w:t>
      </w:r>
    </w:p>
    <w:p w:rsidR="00942272" w:rsidRPr="00723A65" w:rsidRDefault="00942272" w:rsidP="00BF5E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 xml:space="preserve">Esta, contudo, </w:t>
      </w:r>
      <w:r w:rsidR="00BF5ED7">
        <w:rPr>
          <w:sz w:val="28"/>
          <w:szCs w:val="28"/>
        </w:rPr>
        <w:t xml:space="preserve">deve </w:t>
      </w:r>
      <w:r w:rsidRPr="00723A65">
        <w:rPr>
          <w:sz w:val="28"/>
          <w:szCs w:val="28"/>
        </w:rPr>
        <w:t>considerar-se</w:t>
      </w:r>
      <w:r w:rsidR="00376BF3" w:rsidRPr="00723A65">
        <w:rPr>
          <w:sz w:val="28"/>
          <w:szCs w:val="28"/>
        </w:rPr>
        <w:t>,</w:t>
      </w:r>
      <w:r w:rsidRPr="00723A65">
        <w:rPr>
          <w:sz w:val="28"/>
          <w:szCs w:val="28"/>
        </w:rPr>
        <w:t xml:space="preserve"> hoje</w:t>
      </w:r>
      <w:r w:rsidR="00376BF3" w:rsidRPr="00723A65">
        <w:rPr>
          <w:sz w:val="28"/>
          <w:szCs w:val="28"/>
        </w:rPr>
        <w:t>,</w:t>
      </w:r>
      <w:r w:rsidRPr="00723A65">
        <w:rPr>
          <w:sz w:val="28"/>
          <w:szCs w:val="28"/>
        </w:rPr>
        <w:t xml:space="preserve"> um</w:t>
      </w:r>
      <w:r w:rsidR="0011388C" w:rsidRPr="00723A65">
        <w:rPr>
          <w:sz w:val="28"/>
          <w:szCs w:val="28"/>
        </w:rPr>
        <w:t>a justificação insufi</w:t>
      </w:r>
      <w:r w:rsidR="00BF5ED7">
        <w:rPr>
          <w:sz w:val="28"/>
          <w:szCs w:val="28"/>
        </w:rPr>
        <w:t>-</w:t>
      </w:r>
      <w:r w:rsidR="0011388C" w:rsidRPr="00723A65">
        <w:rPr>
          <w:sz w:val="28"/>
          <w:szCs w:val="28"/>
        </w:rPr>
        <w:t xml:space="preserve">ciente. O “direito </w:t>
      </w:r>
      <w:r w:rsidR="00376BF3" w:rsidRPr="00723A65">
        <w:rPr>
          <w:sz w:val="28"/>
          <w:szCs w:val="28"/>
        </w:rPr>
        <w:t xml:space="preserve">geral </w:t>
      </w:r>
      <w:r w:rsidR="0011388C" w:rsidRPr="00723A65">
        <w:rPr>
          <w:sz w:val="28"/>
          <w:szCs w:val="28"/>
        </w:rPr>
        <w:t>de liberdade”</w:t>
      </w:r>
      <w:r w:rsidRPr="00723A65">
        <w:rPr>
          <w:sz w:val="28"/>
          <w:szCs w:val="28"/>
        </w:rPr>
        <w:t xml:space="preserve"> de KANT, formado no momento em que a sociedade estratificada das ordens e corporações do “Antigo Regime” dava lugar à sociedade liberal de cunho individualista, não pode servir </w:t>
      </w:r>
      <w:r w:rsidR="00376BF3" w:rsidRPr="00723A65">
        <w:rPr>
          <w:sz w:val="28"/>
          <w:szCs w:val="28"/>
        </w:rPr>
        <w:t xml:space="preserve">mais </w:t>
      </w:r>
      <w:r w:rsidRPr="00723A65">
        <w:rPr>
          <w:sz w:val="28"/>
          <w:szCs w:val="28"/>
        </w:rPr>
        <w:t xml:space="preserve">de padrão </w:t>
      </w:r>
      <w:r w:rsidR="00376BF3" w:rsidRPr="00723A65">
        <w:rPr>
          <w:sz w:val="28"/>
          <w:szCs w:val="28"/>
        </w:rPr>
        <w:t xml:space="preserve">ou modelo </w:t>
      </w:r>
      <w:r w:rsidRPr="00723A65">
        <w:rPr>
          <w:sz w:val="28"/>
          <w:szCs w:val="28"/>
        </w:rPr>
        <w:t>para a resolução dos problemas atinentes à relação, externa e complexa, entre o Estado e os cidadãos ou à relação cidadão-ci</w:t>
      </w:r>
      <w:r w:rsidR="00BF5ED7">
        <w:rPr>
          <w:sz w:val="28"/>
          <w:szCs w:val="28"/>
        </w:rPr>
        <w:t>-</w:t>
      </w:r>
      <w:r w:rsidRPr="00723A65">
        <w:rPr>
          <w:sz w:val="28"/>
          <w:szCs w:val="28"/>
        </w:rPr>
        <w:t>dadão.</w:t>
      </w:r>
    </w:p>
    <w:p w:rsidR="00942272" w:rsidRPr="00723A65" w:rsidRDefault="00942272" w:rsidP="004C7D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 xml:space="preserve">Mas enquanto o </w:t>
      </w:r>
      <w:r w:rsidR="00802D09" w:rsidRPr="00723A65">
        <w:rPr>
          <w:sz w:val="28"/>
          <w:szCs w:val="28"/>
        </w:rPr>
        <w:t>“</w:t>
      </w:r>
      <w:r w:rsidRPr="00723A65">
        <w:rPr>
          <w:sz w:val="28"/>
          <w:szCs w:val="28"/>
        </w:rPr>
        <w:t>princípio do pluralismo</w:t>
      </w:r>
      <w:r w:rsidR="00802D09" w:rsidRPr="00723A65">
        <w:rPr>
          <w:sz w:val="28"/>
          <w:szCs w:val="28"/>
        </w:rPr>
        <w:t>”</w:t>
      </w:r>
      <w:r w:rsidR="00C31817">
        <w:rPr>
          <w:sz w:val="28"/>
          <w:szCs w:val="28"/>
        </w:rPr>
        <w:t xml:space="preserve"> impu</w:t>
      </w:r>
      <w:r w:rsidR="00C31817" w:rsidRPr="00723A65">
        <w:rPr>
          <w:sz w:val="28"/>
          <w:szCs w:val="28"/>
        </w:rPr>
        <w:t>ser</w:t>
      </w:r>
      <w:r w:rsidRPr="00723A65">
        <w:rPr>
          <w:sz w:val="28"/>
          <w:szCs w:val="28"/>
        </w:rPr>
        <w:t xml:space="preserve"> uma certa to</w:t>
      </w:r>
      <w:r w:rsidR="00BF5ED7">
        <w:rPr>
          <w:sz w:val="28"/>
          <w:szCs w:val="28"/>
        </w:rPr>
        <w:t>-</w:t>
      </w:r>
      <w:r w:rsidRPr="00723A65">
        <w:rPr>
          <w:sz w:val="28"/>
          <w:szCs w:val="28"/>
        </w:rPr>
        <w:t>lerânc</w:t>
      </w:r>
      <w:r w:rsidR="0011388C" w:rsidRPr="00723A65">
        <w:rPr>
          <w:sz w:val="28"/>
          <w:szCs w:val="28"/>
        </w:rPr>
        <w:t>ia “</w:t>
      </w:r>
      <w:r w:rsidRPr="00723A65">
        <w:rPr>
          <w:sz w:val="28"/>
          <w:szCs w:val="28"/>
        </w:rPr>
        <w:t>selectiva</w:t>
      </w:r>
      <w:r w:rsidR="0011388C" w:rsidRPr="00723A65">
        <w:rPr>
          <w:sz w:val="28"/>
          <w:szCs w:val="28"/>
        </w:rPr>
        <w:t>”</w:t>
      </w:r>
      <w:r w:rsidRPr="00723A65">
        <w:rPr>
          <w:sz w:val="28"/>
          <w:szCs w:val="28"/>
        </w:rPr>
        <w:t xml:space="preserve">, a liberdade de consciência e religião apresentar-se-á </w:t>
      </w:r>
      <w:r w:rsidR="0011388C" w:rsidRPr="00723A65">
        <w:rPr>
          <w:sz w:val="28"/>
          <w:szCs w:val="28"/>
        </w:rPr>
        <w:t>como um “valor fundamental”, “</w:t>
      </w:r>
      <w:r w:rsidRPr="00723A65">
        <w:rPr>
          <w:sz w:val="28"/>
          <w:szCs w:val="28"/>
        </w:rPr>
        <w:t xml:space="preserve">a expressão da dignidade </w:t>
      </w:r>
      <w:r w:rsidR="0011388C" w:rsidRPr="00723A65">
        <w:rPr>
          <w:sz w:val="28"/>
          <w:szCs w:val="28"/>
        </w:rPr>
        <w:t>e da autonomia da pessoa humana”</w:t>
      </w:r>
      <w:r w:rsidRPr="00723A65">
        <w:rPr>
          <w:rStyle w:val="Refdenotaderodap"/>
          <w:sz w:val="28"/>
          <w:szCs w:val="28"/>
        </w:rPr>
        <w:footnoteReference w:id="5"/>
      </w:r>
      <w:r w:rsidRPr="00723A65">
        <w:rPr>
          <w:sz w:val="28"/>
          <w:szCs w:val="28"/>
        </w:rPr>
        <w:t>. Um critério pessoal que torna possível uma moral independente a um tempo das autoridades políticas e das autoridades religiosas</w:t>
      </w:r>
      <w:r w:rsidRPr="00723A65">
        <w:rPr>
          <w:rStyle w:val="Refdenotaderodap"/>
          <w:sz w:val="28"/>
          <w:szCs w:val="28"/>
        </w:rPr>
        <w:footnoteReference w:id="6"/>
      </w:r>
      <w:r w:rsidRPr="00723A65">
        <w:rPr>
          <w:sz w:val="28"/>
          <w:szCs w:val="28"/>
        </w:rPr>
        <w:t xml:space="preserve">. </w:t>
      </w:r>
    </w:p>
    <w:p w:rsidR="00376BF3" w:rsidRPr="00723A65" w:rsidRDefault="00376BF3" w:rsidP="000B10FF">
      <w:pPr>
        <w:pStyle w:val="Avanodecorpodetexto"/>
        <w:spacing w:line="360" w:lineRule="auto"/>
        <w:ind w:firstLine="709"/>
        <w:rPr>
          <w:szCs w:val="28"/>
        </w:rPr>
      </w:pPr>
    </w:p>
    <w:p w:rsidR="000B10FF" w:rsidRPr="00723A65" w:rsidRDefault="00802D09" w:rsidP="000B10FF">
      <w:pPr>
        <w:pStyle w:val="Avanodecorpodetexto"/>
        <w:spacing w:line="360" w:lineRule="auto"/>
        <w:ind w:firstLine="709"/>
        <w:rPr>
          <w:szCs w:val="28"/>
        </w:rPr>
      </w:pPr>
      <w:r w:rsidRPr="00723A65">
        <w:rPr>
          <w:szCs w:val="28"/>
        </w:rPr>
        <w:t>7</w:t>
      </w:r>
      <w:r w:rsidR="000B10FF" w:rsidRPr="00723A65">
        <w:rPr>
          <w:szCs w:val="28"/>
        </w:rPr>
        <w:t xml:space="preserve">. Dito isto, e no que concerne às </w:t>
      </w:r>
      <w:r w:rsidR="000B10FF" w:rsidRPr="00723A65">
        <w:rPr>
          <w:i/>
          <w:szCs w:val="28"/>
        </w:rPr>
        <w:t>observações gerais</w:t>
      </w:r>
      <w:r w:rsidR="00560B43" w:rsidRPr="00723A65">
        <w:rPr>
          <w:szCs w:val="28"/>
        </w:rPr>
        <w:t>, importará sa</w:t>
      </w:r>
      <w:r w:rsidR="000B10FF" w:rsidRPr="00723A65">
        <w:rPr>
          <w:szCs w:val="28"/>
        </w:rPr>
        <w:t xml:space="preserve">lientar o seguinte: </w:t>
      </w:r>
    </w:p>
    <w:p w:rsidR="000B10FF" w:rsidRPr="00723A65" w:rsidRDefault="000B10FF" w:rsidP="000B10FF">
      <w:pPr>
        <w:pStyle w:val="Avanodecorpodetexto"/>
        <w:spacing w:line="360" w:lineRule="auto"/>
        <w:ind w:firstLine="709"/>
        <w:rPr>
          <w:szCs w:val="28"/>
        </w:rPr>
      </w:pPr>
    </w:p>
    <w:p w:rsidR="00560B43" w:rsidRPr="00723A65" w:rsidRDefault="000B10FF" w:rsidP="00560B43">
      <w:pPr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b/>
          <w:sz w:val="28"/>
          <w:szCs w:val="28"/>
        </w:rPr>
        <w:t xml:space="preserve">● </w:t>
      </w:r>
      <w:r w:rsidRPr="00723A65">
        <w:rPr>
          <w:sz w:val="28"/>
          <w:szCs w:val="28"/>
        </w:rPr>
        <w:t xml:space="preserve">Primeiro: a </w:t>
      </w:r>
      <w:r w:rsidRPr="00723A65">
        <w:rPr>
          <w:i/>
          <w:sz w:val="28"/>
          <w:szCs w:val="28"/>
        </w:rPr>
        <w:t>estrutura do trabalho</w:t>
      </w:r>
      <w:r w:rsidRPr="00723A65">
        <w:rPr>
          <w:sz w:val="28"/>
          <w:szCs w:val="28"/>
        </w:rPr>
        <w:t xml:space="preserve"> </w:t>
      </w:r>
      <w:r w:rsidR="00C3021C" w:rsidRPr="00723A65">
        <w:rPr>
          <w:sz w:val="28"/>
          <w:szCs w:val="28"/>
        </w:rPr>
        <w:t xml:space="preserve">não me parece, numa apreciação geral, </w:t>
      </w:r>
      <w:r w:rsidR="00560B43" w:rsidRPr="00723A65">
        <w:rPr>
          <w:sz w:val="28"/>
          <w:szCs w:val="28"/>
        </w:rPr>
        <w:t xml:space="preserve">a mais </w:t>
      </w:r>
      <w:r w:rsidR="0046374B" w:rsidRPr="00723A65">
        <w:rPr>
          <w:sz w:val="28"/>
          <w:szCs w:val="28"/>
        </w:rPr>
        <w:t>correcta</w:t>
      </w:r>
      <w:r w:rsidR="00C3021C" w:rsidRPr="00723A65">
        <w:rPr>
          <w:sz w:val="28"/>
          <w:szCs w:val="28"/>
        </w:rPr>
        <w:t xml:space="preserve"> e adequada.</w:t>
      </w:r>
      <w:r w:rsidR="00560B43" w:rsidRPr="00723A65">
        <w:rPr>
          <w:sz w:val="28"/>
          <w:szCs w:val="28"/>
        </w:rPr>
        <w:t xml:space="preserve"> </w:t>
      </w:r>
    </w:p>
    <w:p w:rsidR="00382993" w:rsidRDefault="00382993" w:rsidP="00560B43">
      <w:pPr>
        <w:spacing w:line="360" w:lineRule="auto"/>
        <w:ind w:firstLine="709"/>
        <w:jc w:val="both"/>
        <w:rPr>
          <w:sz w:val="28"/>
          <w:szCs w:val="28"/>
        </w:rPr>
      </w:pPr>
    </w:p>
    <w:p w:rsidR="00560B43" w:rsidRPr="00723A65" w:rsidRDefault="00560B43" w:rsidP="00560B43">
      <w:pPr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 xml:space="preserve">(a) O candidato, sobretudo na Parte I, </w:t>
      </w:r>
      <w:r w:rsidR="00BF5ED7">
        <w:rPr>
          <w:sz w:val="28"/>
          <w:szCs w:val="28"/>
        </w:rPr>
        <w:t>não elenca ade</w:t>
      </w:r>
      <w:r w:rsidRPr="00723A65">
        <w:rPr>
          <w:sz w:val="28"/>
          <w:szCs w:val="28"/>
        </w:rPr>
        <w:t xml:space="preserve">quadamente os princípios e conceitos estruturantes da matéria que se propôs investigar, as instituições intervenientes e os seus actores principais. </w:t>
      </w:r>
    </w:p>
    <w:p w:rsidR="00560B43" w:rsidRPr="00723A65" w:rsidRDefault="00560B43" w:rsidP="00560B43">
      <w:pPr>
        <w:pStyle w:val="Avanodecorpodetexto"/>
        <w:spacing w:line="360" w:lineRule="auto"/>
        <w:ind w:firstLine="709"/>
        <w:rPr>
          <w:szCs w:val="28"/>
        </w:rPr>
      </w:pPr>
      <w:r w:rsidRPr="00723A65">
        <w:rPr>
          <w:szCs w:val="28"/>
        </w:rPr>
        <w:t xml:space="preserve">(b) E a resolução do problema, objecto da dissertação, não se reduz unicamente à esfera do Estado individualmente considerado, mas também à </w:t>
      </w:r>
      <w:r w:rsidRPr="00723A65">
        <w:rPr>
          <w:szCs w:val="28"/>
        </w:rPr>
        <w:lastRenderedPageBreak/>
        <w:t xml:space="preserve">sociedade (do ponto de vista interno) e à comunidade internacional (do ponto de vista externo). </w:t>
      </w:r>
    </w:p>
    <w:p w:rsidR="00560B43" w:rsidRPr="00723A65" w:rsidRDefault="00560B43" w:rsidP="00560B43">
      <w:pPr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 xml:space="preserve">(c) A questão da “articulação normativa” entre esses diferentes níveis transforma-se, em consequência, numa questão nuclear. </w:t>
      </w:r>
    </w:p>
    <w:p w:rsidR="00560B43" w:rsidRPr="00723A65" w:rsidRDefault="00560B43" w:rsidP="00560B43">
      <w:pPr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>(d) Por isso não desenvolve uma visão mais estratégica ou finalizada dos problemas</w:t>
      </w:r>
      <w:r w:rsidR="00BF5ED7">
        <w:rPr>
          <w:sz w:val="28"/>
          <w:szCs w:val="28"/>
        </w:rPr>
        <w:t>, o que lhe permitiria de</w:t>
      </w:r>
      <w:r w:rsidRPr="00723A65">
        <w:rPr>
          <w:sz w:val="28"/>
          <w:szCs w:val="28"/>
        </w:rPr>
        <w:t>notar e desenvolver um maior em</w:t>
      </w:r>
      <w:r w:rsidR="00BF5ED7">
        <w:rPr>
          <w:sz w:val="28"/>
          <w:szCs w:val="28"/>
        </w:rPr>
        <w:t>-</w:t>
      </w:r>
      <w:r w:rsidRPr="00723A65">
        <w:rPr>
          <w:sz w:val="28"/>
          <w:szCs w:val="28"/>
        </w:rPr>
        <w:t>penhamento e rigor na análise e construção teóricas do tema.</w:t>
      </w:r>
    </w:p>
    <w:p w:rsidR="000B10FF" w:rsidRPr="00723A65" w:rsidRDefault="0052793A" w:rsidP="0052793A">
      <w:pPr>
        <w:pStyle w:val="Avanodecorpodetexto"/>
        <w:spacing w:line="360" w:lineRule="auto"/>
        <w:ind w:firstLine="709"/>
        <w:rPr>
          <w:szCs w:val="28"/>
        </w:rPr>
      </w:pPr>
      <w:r w:rsidRPr="00723A65">
        <w:rPr>
          <w:szCs w:val="28"/>
        </w:rPr>
        <w:t xml:space="preserve">(e) Em consequência, o discurso adoptado </w:t>
      </w:r>
      <w:r w:rsidR="00065D9F" w:rsidRPr="00723A65">
        <w:rPr>
          <w:szCs w:val="28"/>
        </w:rPr>
        <w:t xml:space="preserve">obedece mais a um padrão </w:t>
      </w:r>
      <w:r w:rsidR="000B10FF" w:rsidRPr="00723A65">
        <w:rPr>
          <w:szCs w:val="28"/>
        </w:rPr>
        <w:t>descritivo do</w:t>
      </w:r>
      <w:r w:rsidR="00C3021C" w:rsidRPr="00723A65">
        <w:rPr>
          <w:szCs w:val="28"/>
        </w:rPr>
        <w:t xml:space="preserve"> que sistemático e/ou</w:t>
      </w:r>
      <w:r w:rsidR="00BF5ED7">
        <w:rPr>
          <w:szCs w:val="28"/>
        </w:rPr>
        <w:t xml:space="preserve"> argu</w:t>
      </w:r>
      <w:r w:rsidRPr="00723A65">
        <w:rPr>
          <w:szCs w:val="28"/>
        </w:rPr>
        <w:t>mentativo</w:t>
      </w:r>
      <w:r w:rsidR="00C3021C" w:rsidRPr="00723A65">
        <w:rPr>
          <w:szCs w:val="28"/>
        </w:rPr>
        <w:t>.</w:t>
      </w:r>
      <w:r w:rsidR="000B10FF" w:rsidRPr="00723A65">
        <w:rPr>
          <w:szCs w:val="28"/>
        </w:rPr>
        <w:t xml:space="preserve"> </w:t>
      </w:r>
    </w:p>
    <w:p w:rsidR="00382993" w:rsidRDefault="00382993" w:rsidP="000B10FF">
      <w:pPr>
        <w:pStyle w:val="Avanodecorpodetexto"/>
        <w:spacing w:line="360" w:lineRule="auto"/>
        <w:ind w:firstLine="709"/>
        <w:rPr>
          <w:b/>
          <w:szCs w:val="28"/>
        </w:rPr>
      </w:pPr>
    </w:p>
    <w:p w:rsidR="000B10FF" w:rsidRPr="00723A65" w:rsidRDefault="000B10FF" w:rsidP="000B10FF">
      <w:pPr>
        <w:pStyle w:val="Avanodecorpodetexto"/>
        <w:spacing w:line="360" w:lineRule="auto"/>
        <w:ind w:firstLine="709"/>
        <w:rPr>
          <w:szCs w:val="28"/>
        </w:rPr>
      </w:pPr>
      <w:r w:rsidRPr="00723A65">
        <w:rPr>
          <w:b/>
          <w:szCs w:val="28"/>
        </w:rPr>
        <w:t xml:space="preserve">● </w:t>
      </w:r>
      <w:r w:rsidRPr="00723A65">
        <w:rPr>
          <w:szCs w:val="28"/>
        </w:rPr>
        <w:t>A</w:t>
      </w:r>
      <w:r w:rsidRPr="00723A65">
        <w:rPr>
          <w:i/>
          <w:szCs w:val="28"/>
        </w:rPr>
        <w:t xml:space="preserve"> bibliografia</w:t>
      </w:r>
      <w:r w:rsidRPr="00723A65">
        <w:rPr>
          <w:szCs w:val="28"/>
        </w:rPr>
        <w:t>, por</w:t>
      </w:r>
      <w:r w:rsidR="0052793A" w:rsidRPr="00723A65">
        <w:rPr>
          <w:szCs w:val="28"/>
        </w:rPr>
        <w:t xml:space="preserve"> sua vez</w:t>
      </w:r>
      <w:r w:rsidR="00E939B5" w:rsidRPr="00723A65">
        <w:rPr>
          <w:szCs w:val="28"/>
        </w:rPr>
        <w:t>, revela-se</w:t>
      </w:r>
      <w:r w:rsidRPr="00723A65">
        <w:rPr>
          <w:szCs w:val="28"/>
        </w:rPr>
        <w:t xml:space="preserve"> mais ou menos a adequada </w:t>
      </w:r>
      <w:r w:rsidR="00E939B5" w:rsidRPr="00723A65">
        <w:rPr>
          <w:szCs w:val="28"/>
        </w:rPr>
        <w:t xml:space="preserve">a </w:t>
      </w:r>
      <w:r w:rsidRPr="00723A65">
        <w:rPr>
          <w:szCs w:val="28"/>
        </w:rPr>
        <w:t>este tipo de provas, embora falte uma preocupação de actualização e, so</w:t>
      </w:r>
      <w:r w:rsidR="00BF5ED7">
        <w:rPr>
          <w:szCs w:val="28"/>
        </w:rPr>
        <w:t>-</w:t>
      </w:r>
      <w:r w:rsidRPr="00723A65">
        <w:rPr>
          <w:szCs w:val="28"/>
        </w:rPr>
        <w:t>bretudo</w:t>
      </w:r>
      <w:r w:rsidR="00AB7295" w:rsidRPr="00723A65">
        <w:rPr>
          <w:szCs w:val="28"/>
        </w:rPr>
        <w:t>, de</w:t>
      </w:r>
      <w:r w:rsidR="00C3021C" w:rsidRPr="00723A65">
        <w:rPr>
          <w:szCs w:val="28"/>
        </w:rPr>
        <w:t xml:space="preserve"> contacto e intelecção com outras</w:t>
      </w:r>
      <w:r w:rsidRPr="00723A65">
        <w:rPr>
          <w:szCs w:val="28"/>
        </w:rPr>
        <w:t xml:space="preserve"> literatura</w:t>
      </w:r>
      <w:r w:rsidR="00E939B5" w:rsidRPr="00723A65">
        <w:rPr>
          <w:szCs w:val="28"/>
        </w:rPr>
        <w:t>s e</w:t>
      </w:r>
      <w:r w:rsidR="00C3021C" w:rsidRPr="00723A65">
        <w:rPr>
          <w:szCs w:val="28"/>
        </w:rPr>
        <w:t xml:space="preserve"> discursos comu</w:t>
      </w:r>
      <w:r w:rsidR="00BF5ED7">
        <w:rPr>
          <w:szCs w:val="28"/>
        </w:rPr>
        <w:t>-</w:t>
      </w:r>
      <w:r w:rsidR="00C3021C" w:rsidRPr="00723A65">
        <w:rPr>
          <w:szCs w:val="28"/>
        </w:rPr>
        <w:t>nicativos</w:t>
      </w:r>
      <w:r w:rsidRPr="00723A65">
        <w:rPr>
          <w:szCs w:val="28"/>
        </w:rPr>
        <w:t xml:space="preserve">. </w:t>
      </w:r>
    </w:p>
    <w:p w:rsidR="000B10FF" w:rsidRPr="00723A65" w:rsidRDefault="000B10FF" w:rsidP="000B10FF">
      <w:pPr>
        <w:spacing w:line="360" w:lineRule="auto"/>
        <w:ind w:firstLine="709"/>
        <w:jc w:val="both"/>
        <w:rPr>
          <w:sz w:val="28"/>
          <w:szCs w:val="28"/>
        </w:rPr>
      </w:pPr>
    </w:p>
    <w:p w:rsidR="000B10FF" w:rsidRPr="00723A65" w:rsidRDefault="00802D09" w:rsidP="000B10FF">
      <w:pPr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>8</w:t>
      </w:r>
      <w:r w:rsidR="000B10FF" w:rsidRPr="00723A65">
        <w:rPr>
          <w:sz w:val="28"/>
          <w:szCs w:val="28"/>
        </w:rPr>
        <w:t xml:space="preserve">. Quanto ao </w:t>
      </w:r>
      <w:r w:rsidR="000B10FF" w:rsidRPr="00723A65">
        <w:rPr>
          <w:i/>
          <w:sz w:val="28"/>
          <w:szCs w:val="28"/>
        </w:rPr>
        <w:t>comentário específico</w:t>
      </w:r>
      <w:r w:rsidR="000B10FF" w:rsidRPr="00723A65">
        <w:rPr>
          <w:sz w:val="28"/>
          <w:szCs w:val="28"/>
        </w:rPr>
        <w:t>, importará refe</w:t>
      </w:r>
      <w:r w:rsidR="0052793A" w:rsidRPr="00723A65">
        <w:rPr>
          <w:sz w:val="28"/>
          <w:szCs w:val="28"/>
        </w:rPr>
        <w:t>renciar a</w:t>
      </w:r>
      <w:r w:rsidR="000B10FF" w:rsidRPr="00723A65">
        <w:rPr>
          <w:sz w:val="28"/>
          <w:szCs w:val="28"/>
        </w:rPr>
        <w:t>s se</w:t>
      </w:r>
      <w:r w:rsidR="00BF5ED7">
        <w:rPr>
          <w:sz w:val="28"/>
          <w:szCs w:val="28"/>
        </w:rPr>
        <w:t>-</w:t>
      </w:r>
      <w:r w:rsidR="000B10FF" w:rsidRPr="00723A65">
        <w:rPr>
          <w:sz w:val="28"/>
          <w:szCs w:val="28"/>
        </w:rPr>
        <w:t xml:space="preserve">guintes </w:t>
      </w:r>
      <w:r w:rsidR="0052793A" w:rsidRPr="00723A65">
        <w:rPr>
          <w:sz w:val="28"/>
          <w:szCs w:val="28"/>
        </w:rPr>
        <w:t>questõe</w:t>
      </w:r>
      <w:r w:rsidR="000B10FF" w:rsidRPr="00723A65">
        <w:rPr>
          <w:sz w:val="28"/>
          <w:szCs w:val="28"/>
        </w:rPr>
        <w:t>s:</w:t>
      </w:r>
    </w:p>
    <w:p w:rsidR="000B10FF" w:rsidRPr="00723A65" w:rsidRDefault="000B10FF" w:rsidP="000B10FF">
      <w:pPr>
        <w:spacing w:line="360" w:lineRule="auto"/>
        <w:ind w:firstLine="709"/>
        <w:jc w:val="both"/>
        <w:rPr>
          <w:sz w:val="28"/>
          <w:szCs w:val="28"/>
        </w:rPr>
      </w:pPr>
    </w:p>
    <w:p w:rsidR="009B6C0A" w:rsidRPr="00723A65" w:rsidRDefault="00C3021C" w:rsidP="009B6C0A">
      <w:pPr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>Será correcto utilizar a expressão “n</w:t>
      </w:r>
      <w:r w:rsidR="0046374B" w:rsidRPr="00723A65">
        <w:rPr>
          <w:sz w:val="28"/>
          <w:szCs w:val="28"/>
        </w:rPr>
        <w:t>ovo ateísmo</w:t>
      </w:r>
      <w:r w:rsidRPr="00723A65">
        <w:rPr>
          <w:sz w:val="28"/>
          <w:szCs w:val="28"/>
        </w:rPr>
        <w:t>” como o faz no seu estudo</w:t>
      </w:r>
      <w:r w:rsidR="0046374B" w:rsidRPr="00723A65">
        <w:rPr>
          <w:sz w:val="28"/>
          <w:szCs w:val="28"/>
        </w:rPr>
        <w:t xml:space="preserve">. </w:t>
      </w:r>
      <w:r w:rsidR="00E939B5" w:rsidRPr="00723A65">
        <w:rPr>
          <w:sz w:val="28"/>
          <w:szCs w:val="28"/>
        </w:rPr>
        <w:t>E confundir, sistematicamente, os conceitos de “ateísmo”, “se</w:t>
      </w:r>
      <w:r w:rsidR="00BF5ED7">
        <w:rPr>
          <w:sz w:val="28"/>
          <w:szCs w:val="28"/>
        </w:rPr>
        <w:t>-</w:t>
      </w:r>
      <w:r w:rsidR="00E939B5" w:rsidRPr="00723A65">
        <w:rPr>
          <w:sz w:val="28"/>
          <w:szCs w:val="28"/>
        </w:rPr>
        <w:t>cularismo” e “laicismo”?</w:t>
      </w:r>
      <w:r w:rsidR="009B6C0A" w:rsidRPr="00723A65">
        <w:rPr>
          <w:sz w:val="28"/>
          <w:szCs w:val="28"/>
        </w:rPr>
        <w:t xml:space="preserve"> E cito, </w:t>
      </w:r>
      <w:r w:rsidR="0052793A" w:rsidRPr="00723A65">
        <w:rPr>
          <w:sz w:val="28"/>
          <w:szCs w:val="28"/>
        </w:rPr>
        <w:t xml:space="preserve">em particular, o que escreveu nas páginas </w:t>
      </w:r>
      <w:r w:rsidR="009B6C0A" w:rsidRPr="00723A65">
        <w:rPr>
          <w:sz w:val="28"/>
          <w:szCs w:val="28"/>
        </w:rPr>
        <w:t>26-27</w:t>
      </w:r>
      <w:r w:rsidR="0052793A" w:rsidRPr="00723A65">
        <w:rPr>
          <w:sz w:val="28"/>
          <w:szCs w:val="28"/>
        </w:rPr>
        <w:t xml:space="preserve"> do seu estudo</w:t>
      </w:r>
      <w:r w:rsidR="009B6C0A" w:rsidRPr="00723A65">
        <w:rPr>
          <w:sz w:val="28"/>
          <w:szCs w:val="28"/>
        </w:rPr>
        <w:t xml:space="preserve">, </w:t>
      </w:r>
      <w:r w:rsidR="00382993">
        <w:rPr>
          <w:sz w:val="28"/>
          <w:szCs w:val="28"/>
        </w:rPr>
        <w:t>nos quais o</w:t>
      </w:r>
      <w:r w:rsidR="0052793A" w:rsidRPr="00723A65">
        <w:rPr>
          <w:sz w:val="28"/>
          <w:szCs w:val="28"/>
        </w:rPr>
        <w:t>s qualifica</w:t>
      </w:r>
      <w:r w:rsidR="00382993">
        <w:rPr>
          <w:sz w:val="28"/>
          <w:szCs w:val="28"/>
        </w:rPr>
        <w:t xml:space="preserve"> expressamente</w:t>
      </w:r>
      <w:r w:rsidR="0052793A" w:rsidRPr="00723A65">
        <w:rPr>
          <w:sz w:val="28"/>
          <w:szCs w:val="28"/>
        </w:rPr>
        <w:t xml:space="preserve">, sem mais, de </w:t>
      </w:r>
      <w:r w:rsidR="009B6C0A" w:rsidRPr="00723A65">
        <w:rPr>
          <w:sz w:val="28"/>
          <w:szCs w:val="28"/>
        </w:rPr>
        <w:t>“ide</w:t>
      </w:r>
      <w:r w:rsidR="0052793A" w:rsidRPr="00723A65">
        <w:rPr>
          <w:sz w:val="28"/>
          <w:szCs w:val="28"/>
        </w:rPr>
        <w:t>o</w:t>
      </w:r>
      <w:r w:rsidR="009B6C0A" w:rsidRPr="00723A65">
        <w:rPr>
          <w:sz w:val="28"/>
          <w:szCs w:val="28"/>
        </w:rPr>
        <w:t>lo</w:t>
      </w:r>
      <w:r w:rsidR="0052793A" w:rsidRPr="00723A65">
        <w:rPr>
          <w:sz w:val="28"/>
          <w:szCs w:val="28"/>
        </w:rPr>
        <w:t>gias”, com o objec</w:t>
      </w:r>
      <w:r w:rsidR="009B6C0A" w:rsidRPr="00723A65">
        <w:rPr>
          <w:sz w:val="28"/>
          <w:szCs w:val="28"/>
        </w:rPr>
        <w:t>tivo “de disseminar uma imagem negativa da re</w:t>
      </w:r>
      <w:r w:rsidR="00382993">
        <w:rPr>
          <w:sz w:val="28"/>
          <w:szCs w:val="28"/>
        </w:rPr>
        <w:t>-</w:t>
      </w:r>
      <w:r w:rsidR="009B6C0A" w:rsidRPr="00723A65">
        <w:rPr>
          <w:sz w:val="28"/>
          <w:szCs w:val="28"/>
        </w:rPr>
        <w:t>ligião, principalmente a maioritária”, e tentando, em grande medida, afastá-la e repeli-la do espaço público”</w:t>
      </w:r>
      <w:r w:rsidR="00382993" w:rsidRPr="00723A65">
        <w:rPr>
          <w:rStyle w:val="Refdenotaderodap"/>
          <w:rFonts w:eastAsiaTheme="majorEastAsia"/>
          <w:sz w:val="28"/>
          <w:szCs w:val="28"/>
        </w:rPr>
        <w:footnoteReference w:id="7"/>
      </w:r>
      <w:r w:rsidR="00382993">
        <w:rPr>
          <w:rFonts w:eastAsiaTheme="majorEastAsia"/>
          <w:sz w:val="28"/>
          <w:szCs w:val="28"/>
        </w:rPr>
        <w:t>.</w:t>
      </w:r>
      <w:r w:rsidR="009B6C0A" w:rsidRPr="00723A65">
        <w:rPr>
          <w:sz w:val="28"/>
          <w:szCs w:val="28"/>
        </w:rPr>
        <w:t xml:space="preserve"> </w:t>
      </w:r>
    </w:p>
    <w:p w:rsidR="00E939B5" w:rsidRPr="00723A65" w:rsidRDefault="00C3021C" w:rsidP="008A0D05">
      <w:pPr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>Se tivesse delimitado previamente o conceito jurídico-constitucional de “</w:t>
      </w:r>
      <w:r w:rsidR="00E939B5" w:rsidRPr="00723A65">
        <w:rPr>
          <w:sz w:val="28"/>
          <w:szCs w:val="28"/>
        </w:rPr>
        <w:t xml:space="preserve">liberdade </w:t>
      </w:r>
      <w:r w:rsidRPr="00723A65">
        <w:rPr>
          <w:sz w:val="28"/>
          <w:szCs w:val="28"/>
        </w:rPr>
        <w:t xml:space="preserve">de religião” facilmente se aperceberia que a liberdade </w:t>
      </w:r>
      <w:r w:rsidRPr="00723A65">
        <w:rPr>
          <w:i/>
          <w:sz w:val="28"/>
          <w:szCs w:val="28"/>
        </w:rPr>
        <w:t>ne</w:t>
      </w:r>
      <w:r w:rsidR="00802FAC">
        <w:rPr>
          <w:i/>
          <w:sz w:val="28"/>
          <w:szCs w:val="28"/>
        </w:rPr>
        <w:t>-</w:t>
      </w:r>
      <w:r w:rsidRPr="00723A65">
        <w:rPr>
          <w:i/>
          <w:sz w:val="28"/>
          <w:szCs w:val="28"/>
        </w:rPr>
        <w:lastRenderedPageBreak/>
        <w:t>gativa</w:t>
      </w:r>
      <w:r w:rsidR="00BD2E1D" w:rsidRPr="00723A65">
        <w:rPr>
          <w:sz w:val="28"/>
          <w:szCs w:val="28"/>
        </w:rPr>
        <w:t xml:space="preserve"> de religião — </w:t>
      </w:r>
      <w:r w:rsidRPr="00723A65">
        <w:rPr>
          <w:sz w:val="28"/>
          <w:szCs w:val="28"/>
        </w:rPr>
        <w:t xml:space="preserve">ou </w:t>
      </w:r>
      <w:r w:rsidRPr="00723A65">
        <w:rPr>
          <w:i/>
          <w:sz w:val="28"/>
          <w:szCs w:val="28"/>
        </w:rPr>
        <w:t xml:space="preserve">perante </w:t>
      </w:r>
      <w:r w:rsidRPr="00723A65">
        <w:rPr>
          <w:sz w:val="28"/>
          <w:szCs w:val="28"/>
        </w:rPr>
        <w:t xml:space="preserve">a religião </w:t>
      </w:r>
      <w:r w:rsidR="00BD2E1D" w:rsidRPr="00723A65">
        <w:rPr>
          <w:sz w:val="28"/>
          <w:szCs w:val="28"/>
        </w:rPr>
        <w:t xml:space="preserve">— </w:t>
      </w:r>
      <w:r w:rsidRPr="00723A65">
        <w:rPr>
          <w:sz w:val="28"/>
          <w:szCs w:val="28"/>
        </w:rPr>
        <w:t>compreende</w:t>
      </w:r>
      <w:r w:rsidR="00E939B5" w:rsidRPr="00723A65">
        <w:rPr>
          <w:sz w:val="28"/>
          <w:szCs w:val="28"/>
        </w:rPr>
        <w:t xml:space="preserve"> </w:t>
      </w:r>
      <w:r w:rsidR="00E939B5" w:rsidRPr="00723A65">
        <w:rPr>
          <w:i/>
          <w:sz w:val="28"/>
          <w:szCs w:val="28"/>
        </w:rPr>
        <w:t>ainda</w:t>
      </w:r>
      <w:r w:rsidRPr="00723A65">
        <w:rPr>
          <w:sz w:val="28"/>
          <w:szCs w:val="28"/>
        </w:rPr>
        <w:t xml:space="preserve"> a liber</w:t>
      </w:r>
      <w:r w:rsidR="00802FAC">
        <w:rPr>
          <w:sz w:val="28"/>
          <w:szCs w:val="28"/>
        </w:rPr>
        <w:t>-</w:t>
      </w:r>
      <w:r w:rsidRPr="00723A65">
        <w:rPr>
          <w:sz w:val="28"/>
          <w:szCs w:val="28"/>
        </w:rPr>
        <w:t>dade de professar ou não professar uma religião ou crença, incluindo a ex</w:t>
      </w:r>
      <w:r w:rsidR="00802FAC">
        <w:rPr>
          <w:sz w:val="28"/>
          <w:szCs w:val="28"/>
        </w:rPr>
        <w:t>-</w:t>
      </w:r>
      <w:r w:rsidRPr="00723A65">
        <w:rPr>
          <w:sz w:val="28"/>
          <w:szCs w:val="28"/>
        </w:rPr>
        <w:t>pressão não religio</w:t>
      </w:r>
      <w:r w:rsidR="00E939B5" w:rsidRPr="00723A65">
        <w:rPr>
          <w:sz w:val="28"/>
          <w:szCs w:val="28"/>
        </w:rPr>
        <w:t>sa de diferentes formas de vida, isto é, o que designa</w:t>
      </w:r>
      <w:r w:rsidR="00BD2E1D" w:rsidRPr="00723A65">
        <w:rPr>
          <w:sz w:val="28"/>
          <w:szCs w:val="28"/>
        </w:rPr>
        <w:t>, singelamente,</w:t>
      </w:r>
      <w:r w:rsidR="00E939B5" w:rsidRPr="00723A65">
        <w:rPr>
          <w:sz w:val="28"/>
          <w:szCs w:val="28"/>
        </w:rPr>
        <w:t xml:space="preserve"> por</w:t>
      </w:r>
      <w:r w:rsidRPr="00723A65">
        <w:rPr>
          <w:sz w:val="28"/>
          <w:szCs w:val="28"/>
        </w:rPr>
        <w:t xml:space="preserve"> “ateísmo”</w:t>
      </w:r>
      <w:r w:rsidR="008A0D05" w:rsidRPr="00723A65">
        <w:rPr>
          <w:sz w:val="28"/>
          <w:szCs w:val="28"/>
        </w:rPr>
        <w:t xml:space="preserve">, velho ou novo. </w:t>
      </w:r>
    </w:p>
    <w:p w:rsidR="002942A0" w:rsidRPr="00723A65" w:rsidRDefault="00E939B5" w:rsidP="008A0D05">
      <w:pPr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>A “liberdade de</w:t>
      </w:r>
      <w:r w:rsidRPr="00723A65">
        <w:rPr>
          <w:i/>
          <w:sz w:val="28"/>
          <w:szCs w:val="28"/>
        </w:rPr>
        <w:t xml:space="preserve"> </w:t>
      </w:r>
      <w:r w:rsidRPr="00723A65">
        <w:rPr>
          <w:sz w:val="28"/>
          <w:szCs w:val="28"/>
        </w:rPr>
        <w:t>religião” c</w:t>
      </w:r>
      <w:r w:rsidR="008A0D05" w:rsidRPr="00723A65">
        <w:rPr>
          <w:sz w:val="28"/>
          <w:szCs w:val="28"/>
        </w:rPr>
        <w:t xml:space="preserve">ompreende, pois, </w:t>
      </w:r>
      <w:r w:rsidR="002942A0" w:rsidRPr="00723A65">
        <w:rPr>
          <w:sz w:val="28"/>
          <w:szCs w:val="28"/>
        </w:rPr>
        <w:t xml:space="preserve">a liberdade </w:t>
      </w:r>
      <w:r w:rsidR="00B32531" w:rsidRPr="00723A65">
        <w:rPr>
          <w:sz w:val="28"/>
          <w:szCs w:val="28"/>
        </w:rPr>
        <w:t>“</w:t>
      </w:r>
      <w:r w:rsidR="002942A0" w:rsidRPr="00723A65">
        <w:rPr>
          <w:sz w:val="28"/>
          <w:szCs w:val="28"/>
        </w:rPr>
        <w:t>ext</w:t>
      </w:r>
      <w:r w:rsidR="00B32531" w:rsidRPr="00723A65">
        <w:rPr>
          <w:sz w:val="28"/>
          <w:szCs w:val="28"/>
        </w:rPr>
        <w:t xml:space="preserve">erna” </w:t>
      </w:r>
      <w:r w:rsidR="002942A0" w:rsidRPr="00723A65">
        <w:rPr>
          <w:sz w:val="28"/>
          <w:szCs w:val="28"/>
        </w:rPr>
        <w:t>de manifestar a sua própria consciência, de professar as suas própria</w:t>
      </w:r>
      <w:r w:rsidR="00AB7295" w:rsidRPr="00723A65">
        <w:rPr>
          <w:sz w:val="28"/>
          <w:szCs w:val="28"/>
        </w:rPr>
        <w:t xml:space="preserve">s crenças (ou não </w:t>
      </w:r>
      <w:r w:rsidR="002942A0" w:rsidRPr="00723A65">
        <w:rPr>
          <w:sz w:val="28"/>
          <w:szCs w:val="28"/>
        </w:rPr>
        <w:t>crenças)</w:t>
      </w:r>
      <w:r w:rsidR="008A0D05" w:rsidRPr="00723A65">
        <w:rPr>
          <w:sz w:val="28"/>
          <w:szCs w:val="28"/>
        </w:rPr>
        <w:t>,</w:t>
      </w:r>
      <w:r w:rsidR="002942A0" w:rsidRPr="00723A65">
        <w:rPr>
          <w:sz w:val="28"/>
          <w:szCs w:val="28"/>
        </w:rPr>
        <w:t xml:space="preserve"> e de as difundir, pela palavra, por escrito ou outros meios de comunicação. O direito fundamental à liberdade de consciência, religião e culto compreende </w:t>
      </w:r>
      <w:r w:rsidR="008A0D05" w:rsidRPr="00723A65">
        <w:rPr>
          <w:sz w:val="28"/>
          <w:szCs w:val="28"/>
        </w:rPr>
        <w:t>tanto a opção “</w:t>
      </w:r>
      <w:r w:rsidR="002942A0" w:rsidRPr="00723A65">
        <w:rPr>
          <w:sz w:val="28"/>
          <w:szCs w:val="28"/>
        </w:rPr>
        <w:t>positiva</w:t>
      </w:r>
      <w:r w:rsidR="008A0D05" w:rsidRPr="00723A65">
        <w:rPr>
          <w:sz w:val="28"/>
          <w:szCs w:val="28"/>
        </w:rPr>
        <w:t>” como a opção “negativa”</w:t>
      </w:r>
      <w:r w:rsidR="002942A0" w:rsidRPr="00723A65">
        <w:rPr>
          <w:sz w:val="28"/>
          <w:szCs w:val="28"/>
        </w:rPr>
        <w:t xml:space="preserve">, isto é, o direito de professar ou de não professar </w:t>
      </w:r>
      <w:r w:rsidR="00BD2E1D" w:rsidRPr="00723A65">
        <w:rPr>
          <w:sz w:val="28"/>
          <w:szCs w:val="28"/>
        </w:rPr>
        <w:t xml:space="preserve">algo, </w:t>
      </w:r>
      <w:r w:rsidR="00AB7295" w:rsidRPr="00723A65">
        <w:rPr>
          <w:sz w:val="28"/>
          <w:szCs w:val="28"/>
        </w:rPr>
        <w:t xml:space="preserve">incluindo </w:t>
      </w:r>
      <w:r w:rsidR="002942A0" w:rsidRPr="00723A65">
        <w:rPr>
          <w:sz w:val="28"/>
          <w:szCs w:val="28"/>
        </w:rPr>
        <w:t>uma determi</w:t>
      </w:r>
      <w:r w:rsidR="00AB7295" w:rsidRPr="00723A65">
        <w:rPr>
          <w:sz w:val="28"/>
          <w:szCs w:val="28"/>
        </w:rPr>
        <w:t>-</w:t>
      </w:r>
      <w:r w:rsidR="002942A0" w:rsidRPr="00723A65">
        <w:rPr>
          <w:sz w:val="28"/>
          <w:szCs w:val="28"/>
        </w:rPr>
        <w:t xml:space="preserve">nada religião ou crença. </w:t>
      </w:r>
    </w:p>
    <w:p w:rsidR="00B87739" w:rsidRPr="00723A65" w:rsidRDefault="00B87739" w:rsidP="00B87739">
      <w:pPr>
        <w:spacing w:line="360" w:lineRule="auto"/>
        <w:ind w:firstLine="567"/>
        <w:jc w:val="both"/>
        <w:rPr>
          <w:sz w:val="28"/>
          <w:szCs w:val="28"/>
        </w:rPr>
      </w:pPr>
      <w:r w:rsidRPr="00723A65">
        <w:rPr>
          <w:sz w:val="28"/>
          <w:szCs w:val="28"/>
        </w:rPr>
        <w:t xml:space="preserve">Neste sentido, “secularismo” não é </w:t>
      </w:r>
      <w:r w:rsidR="00BD2E1D" w:rsidRPr="00723A65">
        <w:rPr>
          <w:sz w:val="28"/>
          <w:szCs w:val="28"/>
        </w:rPr>
        <w:t xml:space="preserve">nem pode ser </w:t>
      </w:r>
      <w:r w:rsidRPr="00723A65">
        <w:rPr>
          <w:sz w:val="28"/>
          <w:szCs w:val="28"/>
        </w:rPr>
        <w:t>s</w:t>
      </w:r>
      <w:r w:rsidR="00BD2E1D" w:rsidRPr="00723A65">
        <w:rPr>
          <w:sz w:val="28"/>
          <w:szCs w:val="28"/>
        </w:rPr>
        <w:t xml:space="preserve">inónimo de </w:t>
      </w:r>
      <w:r w:rsidR="00AB7295" w:rsidRPr="00723A65">
        <w:rPr>
          <w:sz w:val="28"/>
          <w:szCs w:val="28"/>
        </w:rPr>
        <w:t>“</w:t>
      </w:r>
      <w:r w:rsidR="00BD2E1D" w:rsidRPr="00723A65">
        <w:rPr>
          <w:sz w:val="28"/>
          <w:szCs w:val="28"/>
        </w:rPr>
        <w:t>in</w:t>
      </w:r>
      <w:r w:rsidR="00BF5ED7">
        <w:rPr>
          <w:sz w:val="28"/>
          <w:szCs w:val="28"/>
        </w:rPr>
        <w:t>-</w:t>
      </w:r>
      <w:r w:rsidR="00BD2E1D" w:rsidRPr="00723A65">
        <w:rPr>
          <w:sz w:val="28"/>
          <w:szCs w:val="28"/>
        </w:rPr>
        <w:t>tolerância</w:t>
      </w:r>
      <w:r w:rsidR="00AB7295" w:rsidRPr="00723A65">
        <w:rPr>
          <w:sz w:val="28"/>
          <w:szCs w:val="28"/>
        </w:rPr>
        <w:t>”</w:t>
      </w:r>
      <w:r w:rsidR="00382993" w:rsidRPr="00723A65">
        <w:rPr>
          <w:rStyle w:val="Refdenotaderodap"/>
          <w:rFonts w:eastAsiaTheme="majorEastAsia"/>
          <w:sz w:val="28"/>
          <w:szCs w:val="28"/>
        </w:rPr>
        <w:footnoteReference w:id="8"/>
      </w:r>
      <w:r w:rsidR="00BD2E1D" w:rsidRPr="00723A65">
        <w:rPr>
          <w:sz w:val="28"/>
          <w:szCs w:val="28"/>
        </w:rPr>
        <w:t xml:space="preserve">. E também </w:t>
      </w:r>
      <w:r w:rsidRPr="00723A65">
        <w:rPr>
          <w:sz w:val="28"/>
          <w:szCs w:val="28"/>
        </w:rPr>
        <w:t xml:space="preserve">não existem “secularismos agressivos”. </w:t>
      </w:r>
      <w:r w:rsidR="00AB7295" w:rsidRPr="00723A65">
        <w:rPr>
          <w:sz w:val="28"/>
          <w:szCs w:val="28"/>
        </w:rPr>
        <w:t xml:space="preserve">O </w:t>
      </w:r>
      <w:r w:rsidR="00382993">
        <w:rPr>
          <w:sz w:val="28"/>
          <w:szCs w:val="28"/>
        </w:rPr>
        <w:t>cândi-</w:t>
      </w:r>
      <w:r w:rsidR="00AB7295" w:rsidRPr="00723A65">
        <w:rPr>
          <w:sz w:val="28"/>
          <w:szCs w:val="28"/>
        </w:rPr>
        <w:t>dato n</w:t>
      </w:r>
      <w:r w:rsidR="00BD2E1D" w:rsidRPr="00723A65">
        <w:rPr>
          <w:sz w:val="28"/>
          <w:szCs w:val="28"/>
        </w:rPr>
        <w:t xml:space="preserve">ão </w:t>
      </w:r>
      <w:r w:rsidRPr="00723A65">
        <w:rPr>
          <w:sz w:val="28"/>
          <w:szCs w:val="28"/>
        </w:rPr>
        <w:t>pode</w:t>
      </w:r>
      <w:r w:rsidR="00AB7295" w:rsidRPr="00723A65">
        <w:rPr>
          <w:sz w:val="28"/>
          <w:szCs w:val="28"/>
        </w:rPr>
        <w:t xml:space="preserve"> </w:t>
      </w:r>
      <w:r w:rsidRPr="00723A65">
        <w:rPr>
          <w:sz w:val="28"/>
          <w:szCs w:val="28"/>
        </w:rPr>
        <w:t>confundir os princípios</w:t>
      </w:r>
      <w:r w:rsidR="00AB7295" w:rsidRPr="00723A65">
        <w:rPr>
          <w:sz w:val="28"/>
          <w:szCs w:val="28"/>
        </w:rPr>
        <w:t xml:space="preserve"> jurídico-constitucionais</w:t>
      </w:r>
      <w:r w:rsidRPr="00723A65">
        <w:rPr>
          <w:sz w:val="28"/>
          <w:szCs w:val="28"/>
        </w:rPr>
        <w:t xml:space="preserve"> de “neu</w:t>
      </w:r>
      <w:r w:rsidR="00382993">
        <w:rPr>
          <w:sz w:val="28"/>
          <w:szCs w:val="28"/>
        </w:rPr>
        <w:t>-</w:t>
      </w:r>
      <w:r w:rsidRPr="00723A65">
        <w:rPr>
          <w:sz w:val="28"/>
          <w:szCs w:val="28"/>
        </w:rPr>
        <w:t>tralida</w:t>
      </w:r>
      <w:r w:rsidR="00AB7295" w:rsidRPr="00723A65">
        <w:rPr>
          <w:sz w:val="28"/>
          <w:szCs w:val="28"/>
        </w:rPr>
        <w:t xml:space="preserve">de” e “não </w:t>
      </w:r>
      <w:r w:rsidR="00BD2E1D" w:rsidRPr="00723A65">
        <w:rPr>
          <w:sz w:val="28"/>
          <w:szCs w:val="28"/>
        </w:rPr>
        <w:t>en</w:t>
      </w:r>
      <w:r w:rsidRPr="00723A65">
        <w:rPr>
          <w:sz w:val="28"/>
          <w:szCs w:val="28"/>
        </w:rPr>
        <w:t>volvim</w:t>
      </w:r>
      <w:r w:rsidR="00B53B77" w:rsidRPr="00723A65">
        <w:rPr>
          <w:sz w:val="28"/>
          <w:szCs w:val="28"/>
        </w:rPr>
        <w:t xml:space="preserve">ento” dos poderes públicos com </w:t>
      </w:r>
      <w:r w:rsidRPr="00723A65">
        <w:rPr>
          <w:sz w:val="28"/>
          <w:szCs w:val="28"/>
        </w:rPr>
        <w:t>a “hostilidade”</w:t>
      </w:r>
      <w:r w:rsidR="00B53B77" w:rsidRPr="00723A65">
        <w:rPr>
          <w:sz w:val="28"/>
          <w:szCs w:val="28"/>
        </w:rPr>
        <w:t xml:space="preserve"> a uma dada crença ou religião</w:t>
      </w:r>
      <w:r w:rsidR="00382993" w:rsidRPr="00723A65">
        <w:rPr>
          <w:rStyle w:val="Refdenotaderodap"/>
          <w:rFonts w:eastAsiaTheme="majorEastAsia"/>
          <w:sz w:val="28"/>
          <w:szCs w:val="28"/>
        </w:rPr>
        <w:footnoteReference w:id="9"/>
      </w:r>
      <w:r w:rsidRPr="00723A65">
        <w:rPr>
          <w:sz w:val="28"/>
          <w:szCs w:val="28"/>
        </w:rPr>
        <w:t xml:space="preserve">. </w:t>
      </w:r>
      <w:r w:rsidR="00B53B77" w:rsidRPr="00723A65">
        <w:rPr>
          <w:sz w:val="28"/>
          <w:szCs w:val="28"/>
        </w:rPr>
        <w:t>De igual modo, o “discurso ofensivo” não é idêntico a “ódio racial” como tipologia prevista em muitas leis de natureza anti-discriminatória adoptadas em diversos países europeus</w:t>
      </w:r>
      <w:r w:rsidR="00AB7295" w:rsidRPr="00723A65">
        <w:rPr>
          <w:sz w:val="28"/>
          <w:szCs w:val="28"/>
        </w:rPr>
        <w:t>.</w:t>
      </w:r>
      <w:r w:rsidR="00B53B77" w:rsidRPr="00723A65">
        <w:rPr>
          <w:sz w:val="28"/>
          <w:szCs w:val="28"/>
        </w:rPr>
        <w:t xml:space="preserve"> </w:t>
      </w:r>
    </w:p>
    <w:p w:rsidR="00E939B5" w:rsidRPr="00723A65" w:rsidRDefault="00E939B5" w:rsidP="008A0D05">
      <w:pPr>
        <w:pStyle w:val="Textodenotaderodap"/>
        <w:spacing w:line="360" w:lineRule="auto"/>
        <w:ind w:firstLine="709"/>
        <w:jc w:val="both"/>
        <w:rPr>
          <w:sz w:val="28"/>
          <w:szCs w:val="28"/>
          <w:lang w:val="pt-PT"/>
        </w:rPr>
      </w:pPr>
    </w:p>
    <w:p w:rsidR="00B53B77" w:rsidRPr="00723A65" w:rsidRDefault="00AB7295" w:rsidP="00B53B77">
      <w:pPr>
        <w:pStyle w:val="Textodenotaderodap"/>
        <w:spacing w:line="360" w:lineRule="auto"/>
        <w:ind w:firstLine="709"/>
        <w:jc w:val="both"/>
        <w:rPr>
          <w:sz w:val="28"/>
          <w:szCs w:val="28"/>
          <w:lang w:val="pt-PT"/>
        </w:rPr>
      </w:pPr>
      <w:r w:rsidRPr="00723A65">
        <w:rPr>
          <w:sz w:val="28"/>
          <w:szCs w:val="28"/>
          <w:lang w:val="pt-PT"/>
        </w:rPr>
        <w:t>9</w:t>
      </w:r>
      <w:r w:rsidR="00E939B5" w:rsidRPr="00723A65">
        <w:rPr>
          <w:sz w:val="28"/>
          <w:szCs w:val="28"/>
          <w:lang w:val="pt-PT"/>
        </w:rPr>
        <w:t xml:space="preserve">. </w:t>
      </w:r>
      <w:r w:rsidR="00B53B77" w:rsidRPr="00723A65">
        <w:rPr>
          <w:sz w:val="28"/>
          <w:szCs w:val="28"/>
          <w:lang w:val="pt-PT"/>
        </w:rPr>
        <w:t>A questão fundamental será</w:t>
      </w:r>
      <w:r w:rsidR="00D75EA6" w:rsidRPr="00723A65">
        <w:rPr>
          <w:sz w:val="28"/>
          <w:szCs w:val="28"/>
          <w:lang w:val="pt-PT"/>
        </w:rPr>
        <w:t xml:space="preserve"> a de saber de que </w:t>
      </w:r>
      <w:r w:rsidR="00D75EA6" w:rsidRPr="00723A65">
        <w:rPr>
          <w:i/>
          <w:sz w:val="28"/>
          <w:szCs w:val="28"/>
          <w:lang w:val="pt-PT"/>
        </w:rPr>
        <w:t>modo</w:t>
      </w:r>
      <w:r w:rsidR="008A0D05" w:rsidRPr="00723A65">
        <w:rPr>
          <w:sz w:val="28"/>
          <w:szCs w:val="28"/>
          <w:lang w:val="pt-PT"/>
        </w:rPr>
        <w:t xml:space="preserve"> e por que </w:t>
      </w:r>
      <w:r w:rsidR="008A0D05" w:rsidRPr="00723A65">
        <w:rPr>
          <w:i/>
          <w:sz w:val="28"/>
          <w:szCs w:val="28"/>
          <w:lang w:val="pt-PT"/>
        </w:rPr>
        <w:t>forma</w:t>
      </w:r>
      <w:r w:rsidR="00D75EA6" w:rsidRPr="00723A65">
        <w:rPr>
          <w:sz w:val="28"/>
          <w:szCs w:val="28"/>
          <w:lang w:val="pt-PT"/>
        </w:rPr>
        <w:t xml:space="preserve"> o princípio da tolerância se aplica no espaço público a certas ex</w:t>
      </w:r>
      <w:r w:rsidR="00BF5ED7">
        <w:rPr>
          <w:sz w:val="28"/>
          <w:szCs w:val="28"/>
          <w:lang w:val="pt-PT"/>
        </w:rPr>
        <w:t>-</w:t>
      </w:r>
      <w:r w:rsidR="00D75EA6" w:rsidRPr="00723A65">
        <w:rPr>
          <w:sz w:val="28"/>
          <w:szCs w:val="28"/>
          <w:lang w:val="pt-PT"/>
        </w:rPr>
        <w:t>pressões, práticas so</w:t>
      </w:r>
      <w:r w:rsidR="00B53B77" w:rsidRPr="00723A65">
        <w:rPr>
          <w:sz w:val="28"/>
          <w:szCs w:val="28"/>
          <w:lang w:val="pt-PT"/>
        </w:rPr>
        <w:t>ciais, estilos e formas de vida</w:t>
      </w:r>
      <w:r w:rsidR="008A0D05" w:rsidRPr="00723A65">
        <w:rPr>
          <w:sz w:val="28"/>
          <w:szCs w:val="28"/>
          <w:lang w:val="pt-PT"/>
        </w:rPr>
        <w:t>.</w:t>
      </w:r>
      <w:r w:rsidR="00B53B77" w:rsidRPr="00723A65">
        <w:rPr>
          <w:sz w:val="28"/>
          <w:szCs w:val="28"/>
          <w:lang w:val="pt-PT"/>
        </w:rPr>
        <w:t xml:space="preserve"> </w:t>
      </w:r>
    </w:p>
    <w:p w:rsidR="00D75EA6" w:rsidRPr="00723A65" w:rsidRDefault="00B53B77" w:rsidP="00B53B77">
      <w:pPr>
        <w:pStyle w:val="Textodenotaderodap"/>
        <w:spacing w:line="360" w:lineRule="auto"/>
        <w:ind w:firstLine="709"/>
        <w:jc w:val="both"/>
        <w:rPr>
          <w:sz w:val="28"/>
          <w:szCs w:val="28"/>
          <w:lang w:val="pt-PT"/>
        </w:rPr>
      </w:pPr>
      <w:r w:rsidRPr="00723A65">
        <w:rPr>
          <w:sz w:val="28"/>
          <w:szCs w:val="28"/>
          <w:lang w:val="pt-PT"/>
        </w:rPr>
        <w:t xml:space="preserve">E é, neste aspecto, que </w:t>
      </w:r>
      <w:r w:rsidR="00D75EA6" w:rsidRPr="00723A65">
        <w:rPr>
          <w:sz w:val="28"/>
          <w:szCs w:val="28"/>
          <w:lang w:val="pt-PT"/>
        </w:rPr>
        <w:t xml:space="preserve">os problemas actuais da tolerância </w:t>
      </w:r>
      <w:r w:rsidRPr="00723A65">
        <w:rPr>
          <w:sz w:val="28"/>
          <w:szCs w:val="28"/>
          <w:lang w:val="pt-PT"/>
        </w:rPr>
        <w:t>se trans</w:t>
      </w:r>
      <w:r w:rsidR="00382993">
        <w:rPr>
          <w:sz w:val="28"/>
          <w:szCs w:val="28"/>
          <w:lang w:val="pt-PT"/>
        </w:rPr>
        <w:t>-</w:t>
      </w:r>
      <w:r w:rsidRPr="00723A65">
        <w:rPr>
          <w:sz w:val="28"/>
          <w:szCs w:val="28"/>
          <w:lang w:val="pt-PT"/>
        </w:rPr>
        <w:t xml:space="preserve">formam </w:t>
      </w:r>
      <w:r w:rsidR="004F0C8C" w:rsidRPr="00723A65">
        <w:rPr>
          <w:sz w:val="28"/>
          <w:szCs w:val="28"/>
          <w:lang w:val="pt-PT"/>
        </w:rPr>
        <w:t>numa questão de “inclusão” ou “exclusão”</w:t>
      </w:r>
      <w:r w:rsidR="00755012" w:rsidRPr="00723A65">
        <w:rPr>
          <w:sz w:val="28"/>
          <w:szCs w:val="28"/>
          <w:lang w:val="pt-PT"/>
        </w:rPr>
        <w:t>,</w:t>
      </w:r>
      <w:r w:rsidR="004F0C8C" w:rsidRPr="00723A65">
        <w:rPr>
          <w:sz w:val="28"/>
          <w:szCs w:val="28"/>
          <w:lang w:val="pt-PT"/>
        </w:rPr>
        <w:t xml:space="preserve"> não de “grupos maio</w:t>
      </w:r>
      <w:r w:rsidR="00382993">
        <w:rPr>
          <w:sz w:val="28"/>
          <w:szCs w:val="28"/>
          <w:lang w:val="pt-PT"/>
        </w:rPr>
        <w:t>-</w:t>
      </w:r>
      <w:r w:rsidR="004F0C8C" w:rsidRPr="00723A65">
        <w:rPr>
          <w:sz w:val="28"/>
          <w:szCs w:val="28"/>
          <w:lang w:val="pt-PT"/>
        </w:rPr>
        <w:t>ritários</w:t>
      </w:r>
      <w:r w:rsidRPr="00723A65">
        <w:rPr>
          <w:sz w:val="28"/>
          <w:szCs w:val="28"/>
          <w:lang w:val="pt-PT"/>
        </w:rPr>
        <w:t xml:space="preserve"> — </w:t>
      </w:r>
      <w:r w:rsidR="00E939B5" w:rsidRPr="00723A65">
        <w:rPr>
          <w:sz w:val="28"/>
          <w:szCs w:val="28"/>
          <w:lang w:val="pt-PT"/>
        </w:rPr>
        <w:t>“religiões maioritárias”</w:t>
      </w:r>
      <w:r w:rsidRPr="00723A65">
        <w:rPr>
          <w:sz w:val="28"/>
          <w:szCs w:val="28"/>
          <w:lang w:val="pt-PT"/>
        </w:rPr>
        <w:t>, como as qualifica —</w:t>
      </w:r>
      <w:r w:rsidR="00E939B5" w:rsidRPr="00723A65">
        <w:rPr>
          <w:sz w:val="28"/>
          <w:szCs w:val="28"/>
          <w:lang w:val="pt-PT"/>
        </w:rPr>
        <w:t xml:space="preserve">, </w:t>
      </w:r>
      <w:r w:rsidR="004F0C8C" w:rsidRPr="00723A65">
        <w:rPr>
          <w:sz w:val="28"/>
          <w:szCs w:val="28"/>
          <w:lang w:val="pt-PT"/>
        </w:rPr>
        <w:t>mas</w:t>
      </w:r>
      <w:r w:rsidRPr="00723A65">
        <w:rPr>
          <w:sz w:val="28"/>
          <w:szCs w:val="28"/>
          <w:lang w:val="pt-PT"/>
        </w:rPr>
        <w:t xml:space="preserve"> sim</w:t>
      </w:r>
      <w:r w:rsidR="00D75EA6" w:rsidRPr="00723A65">
        <w:rPr>
          <w:sz w:val="28"/>
          <w:szCs w:val="28"/>
          <w:lang w:val="pt-PT"/>
        </w:rPr>
        <w:t xml:space="preserve"> de gru</w:t>
      </w:r>
      <w:r w:rsidR="00382993">
        <w:rPr>
          <w:sz w:val="28"/>
          <w:szCs w:val="28"/>
          <w:lang w:val="pt-PT"/>
        </w:rPr>
        <w:t>-</w:t>
      </w:r>
      <w:r w:rsidR="00D75EA6" w:rsidRPr="00723A65">
        <w:rPr>
          <w:sz w:val="28"/>
          <w:szCs w:val="28"/>
          <w:lang w:val="pt-PT"/>
        </w:rPr>
        <w:t xml:space="preserve">pos </w:t>
      </w:r>
      <w:r w:rsidR="004F0C8C" w:rsidRPr="00723A65">
        <w:rPr>
          <w:sz w:val="28"/>
          <w:szCs w:val="28"/>
          <w:lang w:val="pt-PT"/>
        </w:rPr>
        <w:t>“</w:t>
      </w:r>
      <w:r w:rsidR="00D75EA6" w:rsidRPr="00723A65">
        <w:rPr>
          <w:sz w:val="28"/>
          <w:szCs w:val="28"/>
          <w:lang w:val="pt-PT"/>
        </w:rPr>
        <w:t>minoritários</w:t>
      </w:r>
      <w:r w:rsidR="004F0C8C" w:rsidRPr="00723A65">
        <w:rPr>
          <w:sz w:val="28"/>
          <w:szCs w:val="28"/>
          <w:lang w:val="pt-PT"/>
        </w:rPr>
        <w:t>”</w:t>
      </w:r>
      <w:r w:rsidR="00D75EA6" w:rsidRPr="00723A65">
        <w:rPr>
          <w:sz w:val="28"/>
          <w:szCs w:val="28"/>
          <w:lang w:val="pt-PT"/>
        </w:rPr>
        <w:t xml:space="preserve"> ou </w:t>
      </w:r>
      <w:r w:rsidR="004F0C8C" w:rsidRPr="00723A65">
        <w:rPr>
          <w:sz w:val="28"/>
          <w:szCs w:val="28"/>
          <w:lang w:val="pt-PT"/>
        </w:rPr>
        <w:t>“</w:t>
      </w:r>
      <w:r w:rsidR="00D75EA6" w:rsidRPr="00723A65">
        <w:rPr>
          <w:sz w:val="28"/>
          <w:szCs w:val="28"/>
          <w:lang w:val="pt-PT"/>
        </w:rPr>
        <w:t>marginais</w:t>
      </w:r>
      <w:r w:rsidR="004F0C8C" w:rsidRPr="00723A65">
        <w:rPr>
          <w:sz w:val="28"/>
          <w:szCs w:val="28"/>
          <w:lang w:val="pt-PT"/>
        </w:rPr>
        <w:t>”</w:t>
      </w:r>
      <w:r w:rsidR="00D75EA6" w:rsidRPr="00723A65">
        <w:rPr>
          <w:sz w:val="28"/>
          <w:szCs w:val="28"/>
          <w:lang w:val="pt-PT"/>
        </w:rPr>
        <w:t xml:space="preserve">. </w:t>
      </w:r>
      <w:r w:rsidRPr="00723A65">
        <w:rPr>
          <w:sz w:val="28"/>
          <w:szCs w:val="28"/>
          <w:lang w:val="pt-PT"/>
        </w:rPr>
        <w:t>Ora,</w:t>
      </w:r>
      <w:r w:rsidR="00D75EA6" w:rsidRPr="00723A65">
        <w:rPr>
          <w:sz w:val="28"/>
          <w:szCs w:val="28"/>
          <w:lang w:val="pt-PT"/>
        </w:rPr>
        <w:t xml:space="preserve"> é aqui que a ques</w:t>
      </w:r>
      <w:r w:rsidR="004F0C8C" w:rsidRPr="00723A65">
        <w:rPr>
          <w:sz w:val="28"/>
          <w:szCs w:val="28"/>
          <w:lang w:val="pt-PT"/>
        </w:rPr>
        <w:t xml:space="preserve">tão da </w:t>
      </w:r>
      <w:r w:rsidR="00D75EA6" w:rsidRPr="00723A65">
        <w:rPr>
          <w:sz w:val="28"/>
          <w:szCs w:val="28"/>
          <w:lang w:val="pt-PT"/>
        </w:rPr>
        <w:t xml:space="preserve">tolerância e da não-discriminação no espaço público surge com toda a pujança dos </w:t>
      </w:r>
      <w:r w:rsidR="00D75EA6" w:rsidRPr="00723A65">
        <w:rPr>
          <w:sz w:val="28"/>
          <w:szCs w:val="28"/>
          <w:lang w:val="pt-PT"/>
        </w:rPr>
        <w:lastRenderedPageBreak/>
        <w:t>seus argumentos face a grupos não-maioritários, portadores de dife</w:t>
      </w:r>
      <w:r w:rsidR="00382993">
        <w:rPr>
          <w:sz w:val="28"/>
          <w:szCs w:val="28"/>
          <w:lang w:val="pt-PT"/>
        </w:rPr>
        <w:t>r</w:t>
      </w:r>
      <w:r w:rsidR="00D75EA6" w:rsidRPr="00723A65">
        <w:rPr>
          <w:sz w:val="28"/>
          <w:szCs w:val="28"/>
          <w:lang w:val="pt-PT"/>
        </w:rPr>
        <w:t xml:space="preserve">entes costumes, </w:t>
      </w:r>
      <w:r w:rsidRPr="00723A65">
        <w:rPr>
          <w:sz w:val="28"/>
          <w:szCs w:val="28"/>
          <w:lang w:val="pt-PT"/>
        </w:rPr>
        <w:t>con</w:t>
      </w:r>
      <w:r w:rsidR="00D75EA6" w:rsidRPr="00723A65">
        <w:rPr>
          <w:sz w:val="28"/>
          <w:szCs w:val="28"/>
          <w:lang w:val="pt-PT"/>
        </w:rPr>
        <w:t>vicções e formas de vida.</w:t>
      </w:r>
    </w:p>
    <w:p w:rsidR="00D75EA6" w:rsidRPr="00723A65" w:rsidRDefault="00B53B77" w:rsidP="00E939B5">
      <w:pPr>
        <w:pStyle w:val="Avanodecorpodetexto"/>
        <w:spacing w:line="360" w:lineRule="auto"/>
        <w:ind w:firstLine="709"/>
        <w:rPr>
          <w:szCs w:val="28"/>
        </w:rPr>
      </w:pPr>
      <w:r w:rsidRPr="00723A65">
        <w:rPr>
          <w:szCs w:val="28"/>
        </w:rPr>
        <w:t>E</w:t>
      </w:r>
      <w:r w:rsidR="00382993">
        <w:rPr>
          <w:szCs w:val="28"/>
        </w:rPr>
        <w:t>,</w:t>
      </w:r>
      <w:r w:rsidRPr="00723A65">
        <w:rPr>
          <w:szCs w:val="28"/>
        </w:rPr>
        <w:t xml:space="preserve"> m</w:t>
      </w:r>
      <w:r w:rsidR="00D75EA6" w:rsidRPr="00723A65">
        <w:rPr>
          <w:szCs w:val="28"/>
        </w:rPr>
        <w:t>ais do que um processo de “desprivatização”</w:t>
      </w:r>
      <w:r w:rsidR="00382993">
        <w:rPr>
          <w:szCs w:val="28"/>
        </w:rPr>
        <w:t>,</w:t>
      </w:r>
      <w:r w:rsidR="00D75EA6" w:rsidRPr="00723A65">
        <w:rPr>
          <w:szCs w:val="28"/>
        </w:rPr>
        <w:t xml:space="preserve"> trata-se, na </w:t>
      </w:r>
      <w:r w:rsidRPr="00723A65">
        <w:rPr>
          <w:szCs w:val="28"/>
        </w:rPr>
        <w:t>ver</w:t>
      </w:r>
      <w:r w:rsidR="00382993">
        <w:rPr>
          <w:szCs w:val="28"/>
        </w:rPr>
        <w:t>-</w:t>
      </w:r>
      <w:r w:rsidR="00D75EA6" w:rsidRPr="00723A65">
        <w:rPr>
          <w:szCs w:val="28"/>
        </w:rPr>
        <w:t>dade, de uma “publicização do privado”, na qual a crença ou as crenças pretendem conservar a sua liberdade e a sua singularidade privada no es</w:t>
      </w:r>
      <w:r w:rsidR="00BF5ED7">
        <w:rPr>
          <w:szCs w:val="28"/>
        </w:rPr>
        <w:t>-</w:t>
      </w:r>
      <w:r w:rsidR="00D75EA6" w:rsidRPr="00723A65">
        <w:rPr>
          <w:szCs w:val="28"/>
        </w:rPr>
        <w:t xml:space="preserve">paço público. Esse reconhecimento das crenças comporta, do seu próprio interior, uma “visibilidade crescente”, conquistada pela </w:t>
      </w:r>
      <w:r w:rsidRPr="00723A65">
        <w:rPr>
          <w:szCs w:val="28"/>
        </w:rPr>
        <w:t>con</w:t>
      </w:r>
      <w:r w:rsidR="00D75EA6" w:rsidRPr="00723A65">
        <w:rPr>
          <w:szCs w:val="28"/>
        </w:rPr>
        <w:t>vicção privada no seio do espaço público</w:t>
      </w:r>
      <w:r w:rsidR="0062228D" w:rsidRPr="00723A65">
        <w:rPr>
          <w:szCs w:val="28"/>
        </w:rPr>
        <w:t xml:space="preserve">. </w:t>
      </w:r>
      <w:r w:rsidR="00D75EA6" w:rsidRPr="00723A65">
        <w:rPr>
          <w:szCs w:val="28"/>
        </w:rPr>
        <w:t xml:space="preserve"> </w:t>
      </w:r>
    </w:p>
    <w:p w:rsidR="00E939B5" w:rsidRPr="00723A65" w:rsidRDefault="0062228D" w:rsidP="00E939B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 xml:space="preserve">É certo, </w:t>
      </w:r>
      <w:r w:rsidR="00E939B5" w:rsidRPr="00723A65">
        <w:rPr>
          <w:sz w:val="28"/>
          <w:szCs w:val="28"/>
        </w:rPr>
        <w:t>também</w:t>
      </w:r>
      <w:r w:rsidRPr="00723A65">
        <w:rPr>
          <w:sz w:val="28"/>
          <w:szCs w:val="28"/>
        </w:rPr>
        <w:t>, que quer exista uma separação “moderada” ou “estrita”, “neutralidade benevolente”</w:t>
      </w:r>
      <w:r w:rsidR="002942A0" w:rsidRPr="00723A65">
        <w:rPr>
          <w:sz w:val="28"/>
          <w:szCs w:val="28"/>
        </w:rPr>
        <w:t xml:space="preserve"> ou o que se lhe queira chamar, o prin</w:t>
      </w:r>
      <w:r w:rsidR="00BF5ED7">
        <w:rPr>
          <w:sz w:val="28"/>
          <w:szCs w:val="28"/>
        </w:rPr>
        <w:t>-</w:t>
      </w:r>
      <w:r w:rsidR="002942A0" w:rsidRPr="00723A65">
        <w:rPr>
          <w:sz w:val="28"/>
          <w:szCs w:val="28"/>
        </w:rPr>
        <w:t xml:space="preserve">cípio constitucional da separação das Igrejas do Estado compreende sempre a </w:t>
      </w:r>
      <w:r w:rsidR="00BF5ED7">
        <w:rPr>
          <w:i/>
          <w:sz w:val="28"/>
          <w:szCs w:val="28"/>
        </w:rPr>
        <w:t>neutrali</w:t>
      </w:r>
      <w:r w:rsidR="002942A0" w:rsidRPr="00723A65">
        <w:rPr>
          <w:i/>
          <w:sz w:val="28"/>
          <w:szCs w:val="28"/>
        </w:rPr>
        <w:t>dade</w:t>
      </w:r>
      <w:r w:rsidR="002942A0" w:rsidRPr="00723A65">
        <w:rPr>
          <w:sz w:val="28"/>
          <w:szCs w:val="28"/>
        </w:rPr>
        <w:t xml:space="preserve"> e </w:t>
      </w:r>
      <w:r w:rsidR="002942A0" w:rsidRPr="00723A65">
        <w:rPr>
          <w:i/>
          <w:sz w:val="28"/>
          <w:szCs w:val="28"/>
        </w:rPr>
        <w:t>não-identificação</w:t>
      </w:r>
      <w:r w:rsidR="002942A0" w:rsidRPr="00723A65">
        <w:rPr>
          <w:sz w:val="28"/>
          <w:szCs w:val="28"/>
        </w:rPr>
        <w:t xml:space="preserve"> do poder público com quaisquer </w:t>
      </w:r>
      <w:r w:rsidR="00BF5ED7">
        <w:rPr>
          <w:sz w:val="28"/>
          <w:szCs w:val="28"/>
        </w:rPr>
        <w:t>con-</w:t>
      </w:r>
      <w:r w:rsidR="002942A0" w:rsidRPr="00723A65">
        <w:rPr>
          <w:sz w:val="28"/>
          <w:szCs w:val="28"/>
        </w:rPr>
        <w:t xml:space="preserve">vicções ou crenças religiosas, científicas ou outras. </w:t>
      </w:r>
    </w:p>
    <w:p w:rsidR="00E939B5" w:rsidRPr="00723A65" w:rsidRDefault="00E939B5" w:rsidP="00E939B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 xml:space="preserve">Mas também resulta igualmente certo que ao </w:t>
      </w:r>
      <w:r w:rsidR="002942A0" w:rsidRPr="00723A65">
        <w:rPr>
          <w:sz w:val="28"/>
          <w:szCs w:val="28"/>
        </w:rPr>
        <w:t>Estado cabe-lhe o dever de se conter dentro dos limites constitucionalmente cons</w:t>
      </w:r>
      <w:r w:rsidR="00A5095B">
        <w:rPr>
          <w:sz w:val="28"/>
          <w:szCs w:val="28"/>
        </w:rPr>
        <w:t>agrados, não o dever de se auto-</w:t>
      </w:r>
      <w:r w:rsidR="002942A0" w:rsidRPr="00723A65">
        <w:rPr>
          <w:sz w:val="28"/>
          <w:szCs w:val="28"/>
        </w:rPr>
        <w:t>abster e permanecer inerte perante a eventual violação desses direitos ou liberdades jusfundamentais</w:t>
      </w:r>
      <w:r w:rsidR="00382993">
        <w:rPr>
          <w:sz w:val="28"/>
          <w:szCs w:val="28"/>
        </w:rPr>
        <w:t xml:space="preserve"> básicos</w:t>
      </w:r>
      <w:r w:rsidR="002942A0" w:rsidRPr="00723A65">
        <w:rPr>
          <w:sz w:val="28"/>
          <w:szCs w:val="28"/>
        </w:rPr>
        <w:t xml:space="preserve">. </w:t>
      </w:r>
    </w:p>
    <w:p w:rsidR="002942A0" w:rsidRPr="00723A65" w:rsidRDefault="002942A0" w:rsidP="006222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 xml:space="preserve">Esse direito resulta tão protegido pela Constituição como a sua </w:t>
      </w:r>
      <w:r w:rsidRPr="00723A65">
        <w:rPr>
          <w:i/>
          <w:sz w:val="28"/>
          <w:szCs w:val="28"/>
        </w:rPr>
        <w:t>altera pars</w:t>
      </w:r>
      <w:r w:rsidR="00E939B5" w:rsidRPr="00723A65">
        <w:rPr>
          <w:sz w:val="28"/>
          <w:szCs w:val="28"/>
        </w:rPr>
        <w:t>: a “liberdade positiva”</w:t>
      </w:r>
      <w:r w:rsidRPr="00723A65">
        <w:rPr>
          <w:sz w:val="28"/>
          <w:szCs w:val="28"/>
        </w:rPr>
        <w:t xml:space="preserve"> de professar uma determinada religião ou crença. Quem se cala, quem permanece silencioso, quem não se manifesta, professa também algo, e esse algo encontra-se constitucionalmente garanti</w:t>
      </w:r>
      <w:r w:rsidR="00BF5ED7">
        <w:rPr>
          <w:sz w:val="28"/>
          <w:szCs w:val="28"/>
        </w:rPr>
        <w:t>-</w:t>
      </w:r>
      <w:r w:rsidRPr="00723A65">
        <w:rPr>
          <w:sz w:val="28"/>
          <w:szCs w:val="28"/>
        </w:rPr>
        <w:t>do e salvaguardado</w:t>
      </w:r>
      <w:r w:rsidRPr="00723A65">
        <w:rPr>
          <w:rStyle w:val="Refdenotaderodap"/>
          <w:sz w:val="28"/>
          <w:szCs w:val="28"/>
        </w:rPr>
        <w:footnoteReference w:id="10"/>
      </w:r>
      <w:r w:rsidRPr="00723A65">
        <w:rPr>
          <w:sz w:val="28"/>
          <w:szCs w:val="28"/>
        </w:rPr>
        <w:t xml:space="preserve">. </w:t>
      </w:r>
    </w:p>
    <w:p w:rsidR="0062228D" w:rsidRPr="00723A65" w:rsidRDefault="0062228D" w:rsidP="00B53B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>Essa “liberdade negativa”</w:t>
      </w:r>
      <w:r w:rsidR="002942A0" w:rsidRPr="00723A65">
        <w:rPr>
          <w:sz w:val="28"/>
          <w:szCs w:val="28"/>
        </w:rPr>
        <w:t xml:space="preserve"> de religião, ou liberdade </w:t>
      </w:r>
      <w:r w:rsidR="002942A0" w:rsidRPr="00723A65">
        <w:rPr>
          <w:i/>
          <w:sz w:val="28"/>
          <w:szCs w:val="28"/>
        </w:rPr>
        <w:t>perante</w:t>
      </w:r>
      <w:r w:rsidR="002942A0" w:rsidRPr="00723A65">
        <w:rPr>
          <w:sz w:val="28"/>
          <w:szCs w:val="28"/>
        </w:rPr>
        <w:t xml:space="preserve"> a re</w:t>
      </w:r>
      <w:r w:rsidRPr="00723A65">
        <w:rPr>
          <w:sz w:val="28"/>
          <w:szCs w:val="28"/>
        </w:rPr>
        <w:t>li</w:t>
      </w:r>
      <w:r w:rsidR="00BF5ED7">
        <w:rPr>
          <w:sz w:val="28"/>
          <w:szCs w:val="28"/>
        </w:rPr>
        <w:t>-</w:t>
      </w:r>
      <w:r w:rsidRPr="00723A65">
        <w:rPr>
          <w:sz w:val="28"/>
          <w:szCs w:val="28"/>
        </w:rPr>
        <w:t>gião, traduz-se numa “reserva”</w:t>
      </w:r>
      <w:r w:rsidR="002942A0" w:rsidRPr="00723A65">
        <w:rPr>
          <w:sz w:val="28"/>
          <w:szCs w:val="28"/>
        </w:rPr>
        <w:t xml:space="preserve"> de protecção da vida f</w:t>
      </w:r>
      <w:r w:rsidRPr="00723A65">
        <w:rPr>
          <w:sz w:val="28"/>
          <w:szCs w:val="28"/>
        </w:rPr>
        <w:t>amiliar e privada, uma reserva “pessoal” e “íntima”</w:t>
      </w:r>
      <w:r w:rsidR="002942A0" w:rsidRPr="00723A65">
        <w:rPr>
          <w:sz w:val="28"/>
          <w:szCs w:val="28"/>
        </w:rPr>
        <w:t xml:space="preserve"> indevassável no que concerne à livre </w:t>
      </w:r>
      <w:r w:rsidR="00BF5ED7">
        <w:rPr>
          <w:sz w:val="28"/>
          <w:szCs w:val="28"/>
        </w:rPr>
        <w:t>con</w:t>
      </w:r>
      <w:r w:rsidR="002942A0" w:rsidRPr="00723A65">
        <w:rPr>
          <w:sz w:val="28"/>
          <w:szCs w:val="28"/>
        </w:rPr>
        <w:t>vicção das pessoas ou, n</w:t>
      </w:r>
      <w:r w:rsidR="00B53B77" w:rsidRPr="00723A65">
        <w:rPr>
          <w:sz w:val="28"/>
          <w:szCs w:val="28"/>
        </w:rPr>
        <w:t>um</w:t>
      </w:r>
      <w:r w:rsidR="002942A0" w:rsidRPr="00723A65">
        <w:rPr>
          <w:sz w:val="28"/>
          <w:szCs w:val="28"/>
        </w:rPr>
        <w:t>a</w:t>
      </w:r>
      <w:r w:rsidR="00B53B77" w:rsidRPr="00723A65">
        <w:rPr>
          <w:sz w:val="28"/>
          <w:szCs w:val="28"/>
        </w:rPr>
        <w:t xml:space="preserve"> outra</w:t>
      </w:r>
      <w:r w:rsidR="002942A0" w:rsidRPr="00723A65">
        <w:rPr>
          <w:sz w:val="28"/>
          <w:szCs w:val="28"/>
        </w:rPr>
        <w:t xml:space="preserve"> terminologia</w:t>
      </w:r>
      <w:r w:rsidR="00B53B77" w:rsidRPr="00723A65">
        <w:rPr>
          <w:sz w:val="28"/>
          <w:szCs w:val="28"/>
        </w:rPr>
        <w:t>,</w:t>
      </w:r>
      <w:r w:rsidRPr="00723A65">
        <w:rPr>
          <w:sz w:val="28"/>
          <w:szCs w:val="28"/>
        </w:rPr>
        <w:t xml:space="preserve"> uma “</w:t>
      </w:r>
      <w:r w:rsidR="002942A0" w:rsidRPr="00723A65">
        <w:rPr>
          <w:sz w:val="28"/>
          <w:szCs w:val="28"/>
        </w:rPr>
        <w:t>reserva p</w:t>
      </w:r>
      <w:r w:rsidRPr="00723A65">
        <w:rPr>
          <w:sz w:val="28"/>
          <w:szCs w:val="28"/>
        </w:rPr>
        <w:t>essoal de convicções religiosas”</w:t>
      </w:r>
      <w:r w:rsidR="002942A0" w:rsidRPr="00723A65">
        <w:rPr>
          <w:sz w:val="28"/>
          <w:szCs w:val="28"/>
        </w:rPr>
        <w:t xml:space="preserve">. </w:t>
      </w:r>
    </w:p>
    <w:p w:rsidR="00F40813" w:rsidRPr="00723A65" w:rsidRDefault="00F40813" w:rsidP="00B325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42A0" w:rsidRPr="00723A65" w:rsidRDefault="00F40813" w:rsidP="00B325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 xml:space="preserve">10. </w:t>
      </w:r>
      <w:r w:rsidR="002942A0" w:rsidRPr="00723A65">
        <w:rPr>
          <w:sz w:val="28"/>
          <w:szCs w:val="28"/>
        </w:rPr>
        <w:t>Aind</w:t>
      </w:r>
      <w:r w:rsidR="00382993">
        <w:rPr>
          <w:sz w:val="28"/>
          <w:szCs w:val="28"/>
        </w:rPr>
        <w:t>a assim, cumpre fazer notar, ess</w:t>
      </w:r>
      <w:r w:rsidR="002942A0" w:rsidRPr="00723A65">
        <w:rPr>
          <w:sz w:val="28"/>
          <w:szCs w:val="28"/>
        </w:rPr>
        <w:t>a regulamentação não im</w:t>
      </w:r>
      <w:r w:rsidR="00BF5ED7">
        <w:rPr>
          <w:sz w:val="28"/>
          <w:szCs w:val="28"/>
        </w:rPr>
        <w:t>-</w:t>
      </w:r>
      <w:r w:rsidR="002942A0" w:rsidRPr="00723A65">
        <w:rPr>
          <w:sz w:val="28"/>
          <w:szCs w:val="28"/>
        </w:rPr>
        <w:t xml:space="preserve">plica uma </w:t>
      </w:r>
      <w:r w:rsidR="002942A0" w:rsidRPr="00723A65">
        <w:rPr>
          <w:i/>
          <w:sz w:val="28"/>
          <w:szCs w:val="28"/>
        </w:rPr>
        <w:t>“definição geral de religião”,</w:t>
      </w:r>
      <w:r w:rsidR="002942A0" w:rsidRPr="00723A65">
        <w:rPr>
          <w:sz w:val="28"/>
          <w:szCs w:val="28"/>
        </w:rPr>
        <w:t xml:space="preserve"> isto é, não pode ser interpretada nunca como uma forma de intromissão violadora do </w:t>
      </w:r>
      <w:r w:rsidRPr="00723A65">
        <w:rPr>
          <w:sz w:val="28"/>
          <w:szCs w:val="28"/>
        </w:rPr>
        <w:t>“</w:t>
      </w:r>
      <w:r w:rsidR="002942A0" w:rsidRPr="00723A65">
        <w:rPr>
          <w:sz w:val="28"/>
          <w:szCs w:val="28"/>
        </w:rPr>
        <w:t>direito geral à liber</w:t>
      </w:r>
      <w:r w:rsidR="00BF5ED7">
        <w:rPr>
          <w:sz w:val="28"/>
          <w:szCs w:val="28"/>
        </w:rPr>
        <w:t>-</w:t>
      </w:r>
      <w:r w:rsidR="002942A0" w:rsidRPr="00723A65">
        <w:rPr>
          <w:sz w:val="28"/>
          <w:szCs w:val="28"/>
        </w:rPr>
        <w:t>dade de consciência, religião e culto</w:t>
      </w:r>
      <w:r w:rsidRPr="00723A65">
        <w:rPr>
          <w:sz w:val="28"/>
          <w:szCs w:val="28"/>
        </w:rPr>
        <w:t>”</w:t>
      </w:r>
      <w:r w:rsidR="002942A0" w:rsidRPr="00723A65">
        <w:rPr>
          <w:sz w:val="28"/>
          <w:szCs w:val="28"/>
        </w:rPr>
        <w:t xml:space="preserve">. </w:t>
      </w:r>
    </w:p>
    <w:p w:rsidR="002942A0" w:rsidRPr="00723A65" w:rsidRDefault="002942A0" w:rsidP="00B32531">
      <w:pPr>
        <w:pStyle w:val="Textodenotaderodap"/>
        <w:spacing w:line="360" w:lineRule="auto"/>
        <w:ind w:firstLine="709"/>
        <w:jc w:val="both"/>
        <w:rPr>
          <w:sz w:val="28"/>
          <w:szCs w:val="28"/>
          <w:lang w:val="pt-PT"/>
        </w:rPr>
      </w:pPr>
      <w:r w:rsidRPr="00723A65">
        <w:rPr>
          <w:sz w:val="28"/>
          <w:szCs w:val="28"/>
          <w:lang w:val="pt-PT"/>
        </w:rPr>
        <w:t xml:space="preserve">Quer dizer, o Direito </w:t>
      </w:r>
      <w:r w:rsidR="00B87739" w:rsidRPr="00723A65">
        <w:rPr>
          <w:sz w:val="28"/>
          <w:szCs w:val="28"/>
          <w:lang w:val="pt-PT"/>
        </w:rPr>
        <w:t xml:space="preserve">Constitucional e o Direito </w:t>
      </w:r>
      <w:r w:rsidRPr="00723A65">
        <w:rPr>
          <w:sz w:val="28"/>
          <w:szCs w:val="28"/>
          <w:lang w:val="pt-PT"/>
        </w:rPr>
        <w:t>Internacional não protege</w:t>
      </w:r>
      <w:r w:rsidR="00B87739" w:rsidRPr="00723A65">
        <w:rPr>
          <w:sz w:val="28"/>
          <w:szCs w:val="28"/>
          <w:lang w:val="pt-PT"/>
        </w:rPr>
        <w:t>m apenas</w:t>
      </w:r>
      <w:r w:rsidRPr="00723A65">
        <w:rPr>
          <w:sz w:val="28"/>
          <w:szCs w:val="28"/>
          <w:lang w:val="pt-PT"/>
        </w:rPr>
        <w:t xml:space="preserve"> os</w:t>
      </w:r>
      <w:r w:rsidRPr="00723A65">
        <w:rPr>
          <w:i/>
          <w:sz w:val="28"/>
          <w:szCs w:val="28"/>
          <w:lang w:val="pt-PT"/>
        </w:rPr>
        <w:t xml:space="preserve"> actos de consciência religiosa em si</w:t>
      </w:r>
      <w:r w:rsidRPr="00723A65">
        <w:rPr>
          <w:sz w:val="28"/>
          <w:szCs w:val="28"/>
          <w:lang w:val="pt-PT"/>
        </w:rPr>
        <w:t xml:space="preserve">, mas também, genericamente, os </w:t>
      </w:r>
      <w:r w:rsidRPr="00723A65">
        <w:rPr>
          <w:i/>
          <w:sz w:val="28"/>
          <w:szCs w:val="28"/>
          <w:lang w:val="pt-PT"/>
        </w:rPr>
        <w:t>actos de consciência</w:t>
      </w:r>
      <w:r w:rsidRPr="00723A65">
        <w:rPr>
          <w:sz w:val="28"/>
          <w:szCs w:val="28"/>
          <w:lang w:val="pt-PT"/>
        </w:rPr>
        <w:t xml:space="preserve"> “tout court” (o que compreende o processo de formação da própria consciência). </w:t>
      </w:r>
    </w:p>
    <w:p w:rsidR="00F40813" w:rsidRPr="00723A65" w:rsidRDefault="00434B7C" w:rsidP="006420C9">
      <w:pPr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>A esta luz</w:t>
      </w:r>
      <w:r w:rsidR="00B87739" w:rsidRPr="00723A65">
        <w:rPr>
          <w:sz w:val="28"/>
          <w:szCs w:val="28"/>
        </w:rPr>
        <w:t xml:space="preserve">, </w:t>
      </w:r>
      <w:r w:rsidR="006420C9" w:rsidRPr="00723A65">
        <w:rPr>
          <w:sz w:val="28"/>
          <w:szCs w:val="28"/>
        </w:rPr>
        <w:t>falar de perseguição à “religião maioritária” parece</w:t>
      </w:r>
      <w:r w:rsidR="00B87739" w:rsidRPr="00723A65">
        <w:rPr>
          <w:sz w:val="28"/>
          <w:szCs w:val="28"/>
        </w:rPr>
        <w:t>-me</w:t>
      </w:r>
      <w:r w:rsidR="001E6300">
        <w:rPr>
          <w:sz w:val="28"/>
          <w:szCs w:val="28"/>
        </w:rPr>
        <w:t xml:space="preserve"> um </w:t>
      </w:r>
      <w:r w:rsidR="00382993">
        <w:rPr>
          <w:sz w:val="28"/>
          <w:szCs w:val="28"/>
        </w:rPr>
        <w:t>contra</w:t>
      </w:r>
      <w:r w:rsidR="00382993" w:rsidRPr="00723A65">
        <w:rPr>
          <w:sz w:val="28"/>
          <w:szCs w:val="28"/>
        </w:rPr>
        <w:t>-senso</w:t>
      </w:r>
      <w:r w:rsidR="00B87739" w:rsidRPr="00723A65">
        <w:rPr>
          <w:sz w:val="28"/>
          <w:szCs w:val="28"/>
        </w:rPr>
        <w:t xml:space="preserve">. </w:t>
      </w:r>
    </w:p>
    <w:p w:rsidR="006420C9" w:rsidRPr="00723A65" w:rsidRDefault="00B87739" w:rsidP="006420C9">
      <w:pPr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>E</w:t>
      </w:r>
      <w:r w:rsidR="006420C9" w:rsidRPr="00723A65">
        <w:rPr>
          <w:sz w:val="28"/>
          <w:szCs w:val="28"/>
        </w:rPr>
        <w:t xml:space="preserve"> o que fazer em relação</w:t>
      </w:r>
      <w:r w:rsidR="00F40813" w:rsidRPr="00723A65">
        <w:rPr>
          <w:sz w:val="28"/>
          <w:szCs w:val="28"/>
        </w:rPr>
        <w:t xml:space="preserve"> aos estereótipos ou</w:t>
      </w:r>
      <w:r w:rsidR="006420C9" w:rsidRPr="00723A65">
        <w:rPr>
          <w:sz w:val="28"/>
          <w:szCs w:val="28"/>
        </w:rPr>
        <w:t xml:space="preserve"> à estigmatização de grupos historicamente discriminados através da propaganda de grupo que vai configurando a </w:t>
      </w:r>
      <w:r w:rsidR="001E6300">
        <w:rPr>
          <w:sz w:val="28"/>
          <w:szCs w:val="28"/>
        </w:rPr>
        <w:t xml:space="preserve">respectiva </w:t>
      </w:r>
      <w:r w:rsidR="006420C9" w:rsidRPr="00723A65">
        <w:rPr>
          <w:sz w:val="28"/>
          <w:szCs w:val="28"/>
        </w:rPr>
        <w:t>imagem social e reputação e que controla o respectivo acesso a oportunidades de gozo</w:t>
      </w:r>
      <w:r w:rsidR="00434B7C" w:rsidRPr="00723A65">
        <w:rPr>
          <w:sz w:val="28"/>
          <w:szCs w:val="28"/>
        </w:rPr>
        <w:t xml:space="preserve"> dos respectivos direitos e li</w:t>
      </w:r>
      <w:r w:rsidR="001E6300">
        <w:rPr>
          <w:sz w:val="28"/>
          <w:szCs w:val="28"/>
        </w:rPr>
        <w:t>-</w:t>
      </w:r>
      <w:r w:rsidR="00434B7C" w:rsidRPr="00723A65">
        <w:rPr>
          <w:sz w:val="28"/>
          <w:szCs w:val="28"/>
        </w:rPr>
        <w:t>berdades</w:t>
      </w:r>
      <w:r w:rsidR="00382993">
        <w:rPr>
          <w:sz w:val="28"/>
          <w:szCs w:val="28"/>
        </w:rPr>
        <w:t xml:space="preserve"> jusfundamentais</w:t>
      </w:r>
      <w:r w:rsidR="006420C9" w:rsidRPr="00723A65">
        <w:rPr>
          <w:sz w:val="28"/>
          <w:szCs w:val="28"/>
        </w:rPr>
        <w:t>?</w:t>
      </w:r>
    </w:p>
    <w:p w:rsidR="00434B7C" w:rsidRPr="00723A65" w:rsidRDefault="00434B7C" w:rsidP="006420C9">
      <w:pPr>
        <w:spacing w:line="360" w:lineRule="auto"/>
        <w:ind w:firstLine="709"/>
        <w:jc w:val="both"/>
        <w:rPr>
          <w:sz w:val="28"/>
          <w:szCs w:val="28"/>
        </w:rPr>
      </w:pPr>
    </w:p>
    <w:p w:rsidR="00434B7C" w:rsidRPr="00723A65" w:rsidRDefault="00F40813" w:rsidP="00755012">
      <w:pPr>
        <w:spacing w:line="360" w:lineRule="auto"/>
        <w:ind w:firstLine="567"/>
        <w:jc w:val="both"/>
        <w:rPr>
          <w:sz w:val="28"/>
          <w:szCs w:val="28"/>
        </w:rPr>
      </w:pPr>
      <w:r w:rsidRPr="00723A65">
        <w:rPr>
          <w:sz w:val="28"/>
          <w:szCs w:val="28"/>
        </w:rPr>
        <w:t>11</w:t>
      </w:r>
      <w:r w:rsidR="00434B7C" w:rsidRPr="00723A65">
        <w:rPr>
          <w:sz w:val="28"/>
          <w:szCs w:val="28"/>
        </w:rPr>
        <w:t>. E, muito sucintamente,</w:t>
      </w:r>
      <w:r w:rsidRPr="00723A65">
        <w:rPr>
          <w:sz w:val="28"/>
          <w:szCs w:val="28"/>
        </w:rPr>
        <w:t xml:space="preserve"> gostaria de apontar outras incorrecções e contradições</w:t>
      </w:r>
      <w:r w:rsidR="00434B7C" w:rsidRPr="00723A65">
        <w:rPr>
          <w:sz w:val="28"/>
          <w:szCs w:val="28"/>
        </w:rPr>
        <w:t>:</w:t>
      </w:r>
    </w:p>
    <w:p w:rsidR="00382993" w:rsidRDefault="00382993" w:rsidP="00434B7C">
      <w:pPr>
        <w:spacing w:line="360" w:lineRule="auto"/>
        <w:ind w:firstLine="567"/>
        <w:jc w:val="both"/>
        <w:rPr>
          <w:sz w:val="28"/>
          <w:szCs w:val="28"/>
        </w:rPr>
      </w:pPr>
    </w:p>
    <w:p w:rsidR="00434B7C" w:rsidRPr="00723A65" w:rsidRDefault="00382993" w:rsidP="00434B7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●</w:t>
      </w:r>
      <w:r w:rsidR="00434B7C" w:rsidRPr="00723A65">
        <w:rPr>
          <w:sz w:val="28"/>
          <w:szCs w:val="28"/>
        </w:rPr>
        <w:t xml:space="preserve"> </w:t>
      </w:r>
      <w:r w:rsidR="00F40813" w:rsidRPr="00723A65">
        <w:rPr>
          <w:sz w:val="28"/>
          <w:szCs w:val="28"/>
        </w:rPr>
        <w:t>Primeiro, que a</w:t>
      </w:r>
      <w:r w:rsidR="00E9182A" w:rsidRPr="00723A65">
        <w:rPr>
          <w:sz w:val="28"/>
          <w:szCs w:val="28"/>
        </w:rPr>
        <w:t xml:space="preserve"> cultura Ocidental não é apenas euro-americana. </w:t>
      </w:r>
      <w:r w:rsidR="00F40813" w:rsidRPr="00723A65">
        <w:rPr>
          <w:sz w:val="28"/>
          <w:szCs w:val="28"/>
        </w:rPr>
        <w:t>E que a</w:t>
      </w:r>
      <w:r w:rsidR="00434B7C" w:rsidRPr="00723A65">
        <w:rPr>
          <w:sz w:val="28"/>
          <w:szCs w:val="28"/>
        </w:rPr>
        <w:t xml:space="preserve"> Europa também não se define mais</w:t>
      </w:r>
      <w:r w:rsidR="00F40813" w:rsidRPr="00723A65">
        <w:rPr>
          <w:sz w:val="28"/>
          <w:szCs w:val="28"/>
        </w:rPr>
        <w:t xml:space="preserve"> hoje</w:t>
      </w:r>
      <w:r w:rsidR="00434B7C" w:rsidRPr="00723A65">
        <w:rPr>
          <w:sz w:val="28"/>
          <w:szCs w:val="28"/>
        </w:rPr>
        <w:t xml:space="preserve"> pela Cristandade. Não es</w:t>
      </w:r>
      <w:r w:rsidR="001E6300">
        <w:rPr>
          <w:sz w:val="28"/>
          <w:szCs w:val="28"/>
        </w:rPr>
        <w:t>-</w:t>
      </w:r>
      <w:r w:rsidR="00434B7C" w:rsidRPr="00723A65">
        <w:rPr>
          <w:sz w:val="28"/>
          <w:szCs w:val="28"/>
        </w:rPr>
        <w:t xml:space="preserve">tamos no tempo das </w:t>
      </w:r>
      <w:r w:rsidR="00F40813" w:rsidRPr="00723A65">
        <w:rPr>
          <w:sz w:val="28"/>
          <w:szCs w:val="28"/>
        </w:rPr>
        <w:t>“</w:t>
      </w:r>
      <w:r w:rsidR="00434B7C" w:rsidRPr="00723A65">
        <w:rPr>
          <w:sz w:val="28"/>
          <w:szCs w:val="28"/>
        </w:rPr>
        <w:t>cruzadas</w:t>
      </w:r>
      <w:r w:rsidR="00F40813" w:rsidRPr="00723A65">
        <w:rPr>
          <w:sz w:val="28"/>
          <w:szCs w:val="28"/>
        </w:rPr>
        <w:t>”</w:t>
      </w:r>
      <w:r w:rsidR="00434B7C" w:rsidRPr="00723A65">
        <w:rPr>
          <w:sz w:val="28"/>
          <w:szCs w:val="28"/>
        </w:rPr>
        <w:t xml:space="preserve"> nem</w:t>
      </w:r>
      <w:r w:rsidR="00F40813" w:rsidRPr="00723A65">
        <w:rPr>
          <w:sz w:val="28"/>
          <w:szCs w:val="28"/>
        </w:rPr>
        <w:t xml:space="preserve"> do “clash of civilizations”</w:t>
      </w:r>
      <w:r w:rsidRPr="00723A65">
        <w:rPr>
          <w:rStyle w:val="Refdenotaderodap"/>
          <w:rFonts w:eastAsiaTheme="majorEastAsia"/>
          <w:sz w:val="28"/>
          <w:szCs w:val="28"/>
        </w:rPr>
        <w:footnoteReference w:id="11"/>
      </w:r>
      <w:r>
        <w:rPr>
          <w:rFonts w:eastAsiaTheme="majorEastAsia"/>
          <w:sz w:val="28"/>
          <w:szCs w:val="28"/>
        </w:rPr>
        <w:t xml:space="preserve">. </w:t>
      </w:r>
      <w:r w:rsidR="00434B7C" w:rsidRPr="00723A65">
        <w:rPr>
          <w:sz w:val="28"/>
          <w:szCs w:val="28"/>
        </w:rPr>
        <w:t>Não será essa</w:t>
      </w:r>
      <w:r w:rsidR="00F40813" w:rsidRPr="00723A65">
        <w:rPr>
          <w:sz w:val="28"/>
          <w:szCs w:val="28"/>
        </w:rPr>
        <w:t>, sim, uma ideologia ou</w:t>
      </w:r>
      <w:r w:rsidR="00434B7C" w:rsidRPr="00723A65">
        <w:rPr>
          <w:sz w:val="28"/>
          <w:szCs w:val="28"/>
        </w:rPr>
        <w:t xml:space="preserve"> conduta “intolerante”? </w:t>
      </w:r>
    </w:p>
    <w:p w:rsidR="00840C19" w:rsidRPr="00723A65" w:rsidRDefault="00382993" w:rsidP="00434B7C">
      <w:pPr>
        <w:spacing w:line="360" w:lineRule="auto"/>
        <w:ind w:firstLine="567"/>
        <w:jc w:val="both"/>
        <w:rPr>
          <w:sz w:val="28"/>
          <w:szCs w:val="28"/>
        </w:rPr>
      </w:pPr>
      <w:r w:rsidRPr="00723A65">
        <w:rPr>
          <w:b/>
          <w:sz w:val="28"/>
          <w:szCs w:val="28"/>
        </w:rPr>
        <w:t xml:space="preserve">● </w:t>
      </w:r>
      <w:r w:rsidR="00B87739" w:rsidRPr="00723A65">
        <w:rPr>
          <w:sz w:val="28"/>
          <w:szCs w:val="28"/>
        </w:rPr>
        <w:t xml:space="preserve">A </w:t>
      </w:r>
      <w:r w:rsidR="00434B7C" w:rsidRPr="00723A65">
        <w:rPr>
          <w:sz w:val="28"/>
          <w:szCs w:val="28"/>
        </w:rPr>
        <w:t>i</w:t>
      </w:r>
      <w:r w:rsidR="00840C19" w:rsidRPr="00723A65">
        <w:rPr>
          <w:sz w:val="28"/>
          <w:szCs w:val="28"/>
        </w:rPr>
        <w:t>nterdição de símbolos religiosos</w:t>
      </w:r>
      <w:r w:rsidR="00B87739" w:rsidRPr="00723A65">
        <w:rPr>
          <w:sz w:val="28"/>
          <w:szCs w:val="28"/>
        </w:rPr>
        <w:t xml:space="preserve"> no “espaço público” (creches, tribunais, escolas, etc.)</w:t>
      </w:r>
      <w:r w:rsidR="00840C19" w:rsidRPr="00723A65">
        <w:rPr>
          <w:sz w:val="28"/>
          <w:szCs w:val="28"/>
        </w:rPr>
        <w:t xml:space="preserve"> tem a ver com a </w:t>
      </w:r>
      <w:r w:rsidR="00B87739" w:rsidRPr="00723A65">
        <w:rPr>
          <w:sz w:val="28"/>
          <w:szCs w:val="28"/>
        </w:rPr>
        <w:t>“</w:t>
      </w:r>
      <w:r w:rsidR="00840C19" w:rsidRPr="00723A65">
        <w:rPr>
          <w:sz w:val="28"/>
          <w:szCs w:val="28"/>
        </w:rPr>
        <w:t>neutralidade</w:t>
      </w:r>
      <w:r w:rsidR="00B87739" w:rsidRPr="00723A65">
        <w:rPr>
          <w:sz w:val="28"/>
          <w:szCs w:val="28"/>
        </w:rPr>
        <w:t>”</w:t>
      </w:r>
      <w:r w:rsidR="00840C19" w:rsidRPr="00723A65">
        <w:rPr>
          <w:sz w:val="28"/>
          <w:szCs w:val="28"/>
        </w:rPr>
        <w:t xml:space="preserve"> e </w:t>
      </w:r>
      <w:r w:rsidR="00B87739" w:rsidRPr="00723A65">
        <w:rPr>
          <w:sz w:val="28"/>
          <w:szCs w:val="28"/>
        </w:rPr>
        <w:t>“</w:t>
      </w:r>
      <w:r w:rsidR="00840C19" w:rsidRPr="00723A65">
        <w:rPr>
          <w:sz w:val="28"/>
          <w:szCs w:val="28"/>
        </w:rPr>
        <w:t>não envolvi</w:t>
      </w:r>
      <w:r w:rsidR="001E6300">
        <w:rPr>
          <w:sz w:val="28"/>
          <w:szCs w:val="28"/>
        </w:rPr>
        <w:t>-</w:t>
      </w:r>
      <w:r w:rsidR="00840C19" w:rsidRPr="00723A65">
        <w:rPr>
          <w:sz w:val="28"/>
          <w:szCs w:val="28"/>
        </w:rPr>
        <w:lastRenderedPageBreak/>
        <w:t>mento</w:t>
      </w:r>
      <w:r w:rsidR="00B87739" w:rsidRPr="00723A65">
        <w:rPr>
          <w:sz w:val="28"/>
          <w:szCs w:val="28"/>
        </w:rPr>
        <w:t>”</w:t>
      </w:r>
      <w:r w:rsidR="00840C19" w:rsidRPr="00723A65">
        <w:rPr>
          <w:sz w:val="28"/>
          <w:szCs w:val="28"/>
        </w:rPr>
        <w:t xml:space="preserve"> </w:t>
      </w:r>
      <w:r w:rsidR="00434B7C" w:rsidRPr="00723A65">
        <w:rPr>
          <w:sz w:val="28"/>
          <w:szCs w:val="28"/>
        </w:rPr>
        <w:t xml:space="preserve">dos poderes públicos </w:t>
      </w:r>
      <w:r w:rsidR="00840C19" w:rsidRPr="00723A65">
        <w:rPr>
          <w:sz w:val="28"/>
          <w:szCs w:val="28"/>
        </w:rPr>
        <w:t>e não co</w:t>
      </w:r>
      <w:r w:rsidR="00296E64" w:rsidRPr="00723A65">
        <w:rPr>
          <w:sz w:val="28"/>
          <w:szCs w:val="28"/>
        </w:rPr>
        <w:t>m</w:t>
      </w:r>
      <w:r w:rsidR="00F40813" w:rsidRPr="00723A65">
        <w:rPr>
          <w:sz w:val="28"/>
          <w:szCs w:val="28"/>
        </w:rPr>
        <w:t xml:space="preserve"> a</w:t>
      </w:r>
      <w:r w:rsidR="00296E64" w:rsidRPr="00723A65">
        <w:rPr>
          <w:sz w:val="28"/>
          <w:szCs w:val="28"/>
        </w:rPr>
        <w:t xml:space="preserve"> </w:t>
      </w:r>
      <w:r w:rsidR="00434B7C" w:rsidRPr="00723A65">
        <w:rPr>
          <w:sz w:val="28"/>
          <w:szCs w:val="28"/>
        </w:rPr>
        <w:t>“</w:t>
      </w:r>
      <w:r w:rsidR="00840C19" w:rsidRPr="00723A65">
        <w:rPr>
          <w:sz w:val="28"/>
          <w:szCs w:val="28"/>
        </w:rPr>
        <w:t>agressão</w:t>
      </w:r>
      <w:r w:rsidR="00434B7C" w:rsidRPr="00723A65">
        <w:rPr>
          <w:sz w:val="28"/>
          <w:szCs w:val="28"/>
        </w:rPr>
        <w:t>”</w:t>
      </w:r>
      <w:r w:rsidR="00840C19" w:rsidRPr="00723A65">
        <w:rPr>
          <w:sz w:val="28"/>
          <w:szCs w:val="28"/>
        </w:rPr>
        <w:t xml:space="preserve"> ou </w:t>
      </w:r>
      <w:r w:rsidR="00434B7C" w:rsidRPr="00723A65">
        <w:rPr>
          <w:sz w:val="28"/>
          <w:szCs w:val="28"/>
        </w:rPr>
        <w:t>“</w:t>
      </w:r>
      <w:r w:rsidR="00840C19" w:rsidRPr="00723A65">
        <w:rPr>
          <w:sz w:val="28"/>
          <w:szCs w:val="28"/>
        </w:rPr>
        <w:t>hostilidade</w:t>
      </w:r>
      <w:r w:rsidR="00434B7C" w:rsidRPr="00723A65">
        <w:rPr>
          <w:sz w:val="28"/>
          <w:szCs w:val="28"/>
        </w:rPr>
        <w:t>”</w:t>
      </w:r>
      <w:r w:rsidR="001E6300">
        <w:rPr>
          <w:sz w:val="28"/>
          <w:szCs w:val="28"/>
        </w:rPr>
        <w:t xml:space="preserve"> face a uma deter</w:t>
      </w:r>
      <w:r w:rsidR="00F40813" w:rsidRPr="00723A65">
        <w:rPr>
          <w:sz w:val="28"/>
          <w:szCs w:val="28"/>
        </w:rPr>
        <w:t>minada religião ou crença</w:t>
      </w:r>
      <w:r w:rsidR="00840C19" w:rsidRPr="00723A65">
        <w:rPr>
          <w:sz w:val="28"/>
          <w:szCs w:val="28"/>
        </w:rPr>
        <w:t xml:space="preserve">. </w:t>
      </w:r>
    </w:p>
    <w:p w:rsidR="00840C19" w:rsidRPr="00723A65" w:rsidRDefault="00382993" w:rsidP="00B32531">
      <w:pPr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b/>
          <w:sz w:val="28"/>
          <w:szCs w:val="28"/>
        </w:rPr>
        <w:t xml:space="preserve">● </w:t>
      </w:r>
      <w:r w:rsidR="00434B7C" w:rsidRPr="00723A65">
        <w:rPr>
          <w:sz w:val="28"/>
          <w:szCs w:val="28"/>
        </w:rPr>
        <w:t xml:space="preserve">(c) </w:t>
      </w:r>
      <w:r w:rsidR="00F40813" w:rsidRPr="00723A65">
        <w:rPr>
          <w:sz w:val="28"/>
          <w:szCs w:val="28"/>
        </w:rPr>
        <w:t xml:space="preserve">Também a </w:t>
      </w:r>
      <w:r w:rsidR="00840C19" w:rsidRPr="00723A65">
        <w:rPr>
          <w:sz w:val="28"/>
          <w:szCs w:val="28"/>
        </w:rPr>
        <w:t>elabor</w:t>
      </w:r>
      <w:r w:rsidR="00BA3A03" w:rsidRPr="00723A65">
        <w:rPr>
          <w:sz w:val="28"/>
          <w:szCs w:val="28"/>
        </w:rPr>
        <w:t xml:space="preserve">ação da </w:t>
      </w:r>
      <w:r w:rsidR="00F40813" w:rsidRPr="00723A65">
        <w:rPr>
          <w:sz w:val="28"/>
          <w:szCs w:val="28"/>
        </w:rPr>
        <w:t>“</w:t>
      </w:r>
      <w:r w:rsidR="00BA3A03" w:rsidRPr="00723A65">
        <w:rPr>
          <w:sz w:val="28"/>
          <w:szCs w:val="28"/>
        </w:rPr>
        <w:t>Constituição da Europa</w:t>
      </w:r>
      <w:r w:rsidR="000A77FC" w:rsidRPr="00723A65">
        <w:rPr>
          <w:sz w:val="28"/>
          <w:szCs w:val="28"/>
        </w:rPr>
        <w:t xml:space="preserve">” </w:t>
      </w:r>
      <w:r w:rsidR="009B6C0A" w:rsidRPr="00723A65">
        <w:rPr>
          <w:sz w:val="28"/>
          <w:szCs w:val="28"/>
        </w:rPr>
        <w:t xml:space="preserve">não é de 2003. Correctamente, </w:t>
      </w:r>
      <w:r w:rsidR="00F40813" w:rsidRPr="00723A65">
        <w:rPr>
          <w:sz w:val="28"/>
          <w:szCs w:val="28"/>
        </w:rPr>
        <w:t xml:space="preserve">o candidato </w:t>
      </w:r>
      <w:r w:rsidR="001E6300">
        <w:rPr>
          <w:sz w:val="28"/>
          <w:szCs w:val="28"/>
        </w:rPr>
        <w:t>queria</w:t>
      </w:r>
      <w:r w:rsidR="000A77FC" w:rsidRPr="00723A65">
        <w:rPr>
          <w:sz w:val="28"/>
          <w:szCs w:val="28"/>
        </w:rPr>
        <w:t xml:space="preserve"> referir</w:t>
      </w:r>
      <w:r w:rsidR="001E6300">
        <w:rPr>
          <w:sz w:val="28"/>
          <w:szCs w:val="28"/>
        </w:rPr>
        <w:t>-se</w:t>
      </w:r>
      <w:r w:rsidR="000A77FC" w:rsidRPr="00723A65">
        <w:rPr>
          <w:sz w:val="28"/>
          <w:szCs w:val="28"/>
        </w:rPr>
        <w:t xml:space="preserve"> à </w:t>
      </w:r>
      <w:r w:rsidR="009B6C0A" w:rsidRPr="00723A65">
        <w:rPr>
          <w:sz w:val="28"/>
          <w:szCs w:val="28"/>
        </w:rPr>
        <w:t>“</w:t>
      </w:r>
      <w:r w:rsidR="00840C19" w:rsidRPr="00723A65">
        <w:rPr>
          <w:sz w:val="28"/>
          <w:szCs w:val="28"/>
        </w:rPr>
        <w:t>Convenção sob</w:t>
      </w:r>
      <w:r w:rsidR="009B6C0A" w:rsidRPr="00723A65">
        <w:rPr>
          <w:sz w:val="28"/>
          <w:szCs w:val="28"/>
        </w:rPr>
        <w:t>r</w:t>
      </w:r>
      <w:r w:rsidR="00840C19" w:rsidRPr="00723A65">
        <w:rPr>
          <w:sz w:val="28"/>
          <w:szCs w:val="28"/>
        </w:rPr>
        <w:t>e o Futuro da Europa</w:t>
      </w:r>
      <w:r w:rsidR="009B6C0A" w:rsidRPr="00723A65">
        <w:rPr>
          <w:sz w:val="28"/>
          <w:szCs w:val="28"/>
        </w:rPr>
        <w:t>”</w:t>
      </w:r>
      <w:r w:rsidR="001E6300">
        <w:rPr>
          <w:sz w:val="28"/>
          <w:szCs w:val="28"/>
        </w:rPr>
        <w:t xml:space="preserve"> (</w:t>
      </w:r>
      <w:r w:rsidR="00840C19" w:rsidRPr="00723A65">
        <w:rPr>
          <w:sz w:val="28"/>
          <w:szCs w:val="28"/>
        </w:rPr>
        <w:t>2003</w:t>
      </w:r>
      <w:r w:rsidR="00296E64" w:rsidRPr="00723A65">
        <w:rPr>
          <w:sz w:val="28"/>
          <w:szCs w:val="28"/>
        </w:rPr>
        <w:t>-2004</w:t>
      </w:r>
      <w:r w:rsidR="001E6300">
        <w:rPr>
          <w:sz w:val="28"/>
          <w:szCs w:val="28"/>
        </w:rPr>
        <w:t>)</w:t>
      </w:r>
      <w:r w:rsidR="00296E64" w:rsidRPr="00723A65">
        <w:rPr>
          <w:sz w:val="28"/>
          <w:szCs w:val="28"/>
        </w:rPr>
        <w:t xml:space="preserve">. E </w:t>
      </w:r>
      <w:r w:rsidR="009B6C0A" w:rsidRPr="00723A65">
        <w:rPr>
          <w:sz w:val="28"/>
          <w:szCs w:val="28"/>
        </w:rPr>
        <w:t xml:space="preserve">trata-se da elaboração de um projecto de </w:t>
      </w:r>
      <w:r w:rsidR="000A77FC" w:rsidRPr="00723A65">
        <w:rPr>
          <w:sz w:val="28"/>
          <w:szCs w:val="28"/>
        </w:rPr>
        <w:t>“</w:t>
      </w:r>
      <w:r w:rsidR="00434B7C" w:rsidRPr="00723A65">
        <w:rPr>
          <w:sz w:val="28"/>
          <w:szCs w:val="28"/>
        </w:rPr>
        <w:t>T</w:t>
      </w:r>
      <w:r w:rsidR="00296E64" w:rsidRPr="00723A65">
        <w:rPr>
          <w:sz w:val="28"/>
          <w:szCs w:val="28"/>
        </w:rPr>
        <w:t xml:space="preserve">ratado sobre </w:t>
      </w:r>
      <w:r w:rsidR="009B6C0A" w:rsidRPr="00723A65">
        <w:rPr>
          <w:sz w:val="28"/>
          <w:szCs w:val="28"/>
        </w:rPr>
        <w:t>(</w:t>
      </w:r>
      <w:r w:rsidR="00296E64" w:rsidRPr="00723A65">
        <w:rPr>
          <w:i/>
          <w:sz w:val="28"/>
          <w:szCs w:val="28"/>
        </w:rPr>
        <w:t>ü</w:t>
      </w:r>
      <w:r w:rsidR="00840C19" w:rsidRPr="00723A65">
        <w:rPr>
          <w:i/>
          <w:sz w:val="28"/>
          <w:szCs w:val="28"/>
        </w:rPr>
        <w:t>ber</w:t>
      </w:r>
      <w:r w:rsidR="00840C19" w:rsidRPr="00723A65">
        <w:rPr>
          <w:sz w:val="28"/>
          <w:szCs w:val="28"/>
        </w:rPr>
        <w:t xml:space="preserve">) </w:t>
      </w:r>
      <w:r w:rsidR="009B6C0A" w:rsidRPr="00723A65">
        <w:rPr>
          <w:sz w:val="28"/>
          <w:szCs w:val="28"/>
        </w:rPr>
        <w:t>uma Constituição para a Euro</w:t>
      </w:r>
      <w:r w:rsidR="00434B7C" w:rsidRPr="00723A65">
        <w:rPr>
          <w:sz w:val="28"/>
          <w:szCs w:val="28"/>
        </w:rPr>
        <w:t>pa</w:t>
      </w:r>
      <w:r w:rsidR="009B6C0A" w:rsidRPr="00723A65">
        <w:rPr>
          <w:sz w:val="28"/>
          <w:szCs w:val="28"/>
        </w:rPr>
        <w:t xml:space="preserve">”. </w:t>
      </w:r>
    </w:p>
    <w:p w:rsidR="0090472C" w:rsidRPr="00723A65" w:rsidRDefault="0090472C" w:rsidP="00B32531">
      <w:pPr>
        <w:spacing w:line="360" w:lineRule="auto"/>
        <w:ind w:firstLine="709"/>
        <w:jc w:val="both"/>
        <w:rPr>
          <w:sz w:val="28"/>
          <w:szCs w:val="28"/>
        </w:rPr>
      </w:pPr>
    </w:p>
    <w:p w:rsidR="00840C19" w:rsidRPr="00723A65" w:rsidRDefault="0090472C" w:rsidP="00B32531">
      <w:pPr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>1</w:t>
      </w:r>
      <w:r w:rsidR="000A77FC" w:rsidRPr="00723A65">
        <w:rPr>
          <w:sz w:val="28"/>
          <w:szCs w:val="28"/>
        </w:rPr>
        <w:t>2</w:t>
      </w:r>
      <w:r w:rsidRPr="00723A65">
        <w:rPr>
          <w:sz w:val="28"/>
          <w:szCs w:val="28"/>
        </w:rPr>
        <w:t xml:space="preserve">. </w:t>
      </w:r>
      <w:r w:rsidR="009B6C0A" w:rsidRPr="00723A65">
        <w:rPr>
          <w:sz w:val="28"/>
          <w:szCs w:val="28"/>
        </w:rPr>
        <w:t>Do meu ponto de vista, resu</w:t>
      </w:r>
      <w:r w:rsidRPr="00723A65">
        <w:rPr>
          <w:sz w:val="28"/>
          <w:szCs w:val="28"/>
        </w:rPr>
        <w:t>lta mais convincente a Parte II, sobre a “</w:t>
      </w:r>
      <w:r w:rsidR="00840C19" w:rsidRPr="00723A65">
        <w:rPr>
          <w:sz w:val="28"/>
          <w:szCs w:val="28"/>
        </w:rPr>
        <w:t>Liberdade de proselitismo</w:t>
      </w:r>
      <w:r w:rsidRPr="00723A65">
        <w:rPr>
          <w:sz w:val="28"/>
          <w:szCs w:val="28"/>
        </w:rPr>
        <w:t>”</w:t>
      </w:r>
      <w:r w:rsidR="00840C19" w:rsidRPr="00723A65">
        <w:rPr>
          <w:sz w:val="28"/>
          <w:szCs w:val="28"/>
        </w:rPr>
        <w:t>. Aí</w:t>
      </w:r>
      <w:r w:rsidR="009B6C0A" w:rsidRPr="00723A65">
        <w:rPr>
          <w:sz w:val="28"/>
          <w:szCs w:val="28"/>
        </w:rPr>
        <w:t xml:space="preserve"> o candidato mostra-se mais</w:t>
      </w:r>
      <w:r w:rsidR="00840C19" w:rsidRPr="00723A65">
        <w:rPr>
          <w:sz w:val="28"/>
          <w:szCs w:val="28"/>
        </w:rPr>
        <w:t xml:space="preserve"> contido, expressando opiniões mais idóneas e adequ</w:t>
      </w:r>
      <w:r w:rsidR="00296E64" w:rsidRPr="00723A65">
        <w:rPr>
          <w:sz w:val="28"/>
          <w:szCs w:val="28"/>
        </w:rPr>
        <w:t>a</w:t>
      </w:r>
      <w:r w:rsidR="00840C19" w:rsidRPr="00723A65">
        <w:rPr>
          <w:sz w:val="28"/>
          <w:szCs w:val="28"/>
        </w:rPr>
        <w:t>das</w:t>
      </w:r>
      <w:r w:rsidR="000A77FC" w:rsidRPr="00723A65">
        <w:rPr>
          <w:sz w:val="28"/>
          <w:szCs w:val="28"/>
        </w:rPr>
        <w:t>. E</w:t>
      </w:r>
      <w:r w:rsidR="00840C19" w:rsidRPr="00723A65">
        <w:rPr>
          <w:sz w:val="28"/>
          <w:szCs w:val="28"/>
        </w:rPr>
        <w:t xml:space="preserve">m suma, mais </w:t>
      </w:r>
      <w:r w:rsidR="00BA3A03" w:rsidRPr="00723A65">
        <w:rPr>
          <w:sz w:val="28"/>
          <w:szCs w:val="28"/>
        </w:rPr>
        <w:t>“</w:t>
      </w:r>
      <w:r w:rsidR="00840C19" w:rsidRPr="00723A65">
        <w:rPr>
          <w:sz w:val="28"/>
          <w:szCs w:val="28"/>
        </w:rPr>
        <w:t>razoá</w:t>
      </w:r>
      <w:r w:rsidR="001E6300">
        <w:rPr>
          <w:sz w:val="28"/>
          <w:szCs w:val="28"/>
        </w:rPr>
        <w:t>-</w:t>
      </w:r>
      <w:r w:rsidR="00840C19" w:rsidRPr="00723A65">
        <w:rPr>
          <w:sz w:val="28"/>
          <w:szCs w:val="28"/>
        </w:rPr>
        <w:t>veis”</w:t>
      </w:r>
      <w:r w:rsidR="00307551" w:rsidRPr="00723A65">
        <w:rPr>
          <w:sz w:val="28"/>
          <w:szCs w:val="28"/>
        </w:rPr>
        <w:t>.</w:t>
      </w:r>
    </w:p>
    <w:p w:rsidR="00BA3A03" w:rsidRPr="00723A65" w:rsidRDefault="00307551" w:rsidP="00BA3A03">
      <w:pPr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>Define</w:t>
      </w:r>
      <w:r w:rsidR="009B6C0A" w:rsidRPr="00723A65">
        <w:rPr>
          <w:sz w:val="28"/>
          <w:szCs w:val="28"/>
        </w:rPr>
        <w:t>, genericamente,</w:t>
      </w:r>
      <w:r w:rsidRPr="00723A65">
        <w:rPr>
          <w:sz w:val="28"/>
          <w:szCs w:val="28"/>
        </w:rPr>
        <w:t xml:space="preserve"> o proselitismo como uma liberdade. E </w:t>
      </w:r>
      <w:r w:rsidR="001E6300">
        <w:rPr>
          <w:sz w:val="28"/>
          <w:szCs w:val="28"/>
        </w:rPr>
        <w:t>con-</w:t>
      </w:r>
      <w:r w:rsidRPr="00723A65">
        <w:rPr>
          <w:sz w:val="28"/>
          <w:szCs w:val="28"/>
        </w:rPr>
        <w:t>fronta-o com o direito de</w:t>
      </w:r>
      <w:r w:rsidR="009B6C0A" w:rsidRPr="00723A65">
        <w:rPr>
          <w:sz w:val="28"/>
          <w:szCs w:val="28"/>
        </w:rPr>
        <w:t xml:space="preserve"> “ser deixado só”. Configura-o</w:t>
      </w:r>
      <w:r w:rsidR="0090472C" w:rsidRPr="00723A65">
        <w:rPr>
          <w:sz w:val="28"/>
          <w:szCs w:val="28"/>
        </w:rPr>
        <w:t>, ainda,</w:t>
      </w:r>
      <w:r w:rsidRPr="00723A65">
        <w:rPr>
          <w:sz w:val="28"/>
          <w:szCs w:val="28"/>
        </w:rPr>
        <w:t xml:space="preserve"> como uma “conduta expressiva”</w:t>
      </w:r>
      <w:r w:rsidR="00382993" w:rsidRPr="00723A65">
        <w:rPr>
          <w:rStyle w:val="Refdenotaderodap"/>
          <w:rFonts w:eastAsiaTheme="majorEastAsia"/>
          <w:sz w:val="28"/>
          <w:szCs w:val="28"/>
        </w:rPr>
        <w:footnoteReference w:id="12"/>
      </w:r>
      <w:r w:rsidR="00382993">
        <w:rPr>
          <w:rFonts w:eastAsiaTheme="majorEastAsia"/>
          <w:sz w:val="28"/>
          <w:szCs w:val="28"/>
        </w:rPr>
        <w:t xml:space="preserve">. </w:t>
      </w:r>
      <w:r w:rsidRPr="00723A65">
        <w:rPr>
          <w:sz w:val="28"/>
          <w:szCs w:val="28"/>
        </w:rPr>
        <w:t>E considera-o “pa</w:t>
      </w:r>
      <w:r w:rsidR="00296E64" w:rsidRPr="00723A65">
        <w:rPr>
          <w:sz w:val="28"/>
          <w:szCs w:val="28"/>
        </w:rPr>
        <w:t>rte integrante e imprescindível</w:t>
      </w:r>
      <w:r w:rsidRPr="00723A65">
        <w:rPr>
          <w:sz w:val="28"/>
          <w:szCs w:val="28"/>
        </w:rPr>
        <w:t xml:space="preserve"> da liberdade religiosa”</w:t>
      </w:r>
      <w:r w:rsidR="0090472C" w:rsidRPr="00723A65">
        <w:rPr>
          <w:sz w:val="28"/>
          <w:szCs w:val="28"/>
        </w:rPr>
        <w:t xml:space="preserve">, incluindo a liberdade de mudar de religião. Refere a necessidade de se proceder a um </w:t>
      </w:r>
      <w:r w:rsidR="001E6300">
        <w:rPr>
          <w:sz w:val="28"/>
          <w:szCs w:val="28"/>
        </w:rPr>
        <w:t>contrape</w:t>
      </w:r>
      <w:r w:rsidR="0090472C" w:rsidRPr="00723A65">
        <w:rPr>
          <w:sz w:val="28"/>
          <w:szCs w:val="28"/>
        </w:rPr>
        <w:t xml:space="preserve">so de bens no caso </w:t>
      </w:r>
      <w:r w:rsidR="001E6300">
        <w:rPr>
          <w:sz w:val="28"/>
          <w:szCs w:val="28"/>
        </w:rPr>
        <w:t>con</w:t>
      </w:r>
      <w:r w:rsidR="0090472C" w:rsidRPr="00723A65">
        <w:rPr>
          <w:sz w:val="28"/>
          <w:szCs w:val="28"/>
        </w:rPr>
        <w:t>creto</w:t>
      </w:r>
      <w:r w:rsidR="00296E64" w:rsidRPr="00723A65">
        <w:rPr>
          <w:sz w:val="28"/>
          <w:szCs w:val="28"/>
        </w:rPr>
        <w:t>. Dis</w:t>
      </w:r>
      <w:r w:rsidR="0042153E">
        <w:rPr>
          <w:sz w:val="28"/>
          <w:szCs w:val="28"/>
        </w:rPr>
        <w:t>-</w:t>
      </w:r>
      <w:r w:rsidR="00296E64" w:rsidRPr="00723A65">
        <w:rPr>
          <w:sz w:val="28"/>
          <w:szCs w:val="28"/>
        </w:rPr>
        <w:t>tingue</w:t>
      </w:r>
      <w:r w:rsidR="0090472C" w:rsidRPr="00723A65">
        <w:rPr>
          <w:sz w:val="28"/>
          <w:szCs w:val="28"/>
        </w:rPr>
        <w:t xml:space="preserve"> </w:t>
      </w:r>
      <w:r w:rsidR="00296E64" w:rsidRPr="00723A65">
        <w:rPr>
          <w:sz w:val="28"/>
          <w:szCs w:val="28"/>
        </w:rPr>
        <w:t>o</w:t>
      </w:r>
      <w:r w:rsidRPr="00723A65">
        <w:rPr>
          <w:sz w:val="28"/>
          <w:szCs w:val="28"/>
        </w:rPr>
        <w:t xml:space="preserve"> proseli</w:t>
      </w:r>
      <w:r w:rsidR="00296E64" w:rsidRPr="00723A65">
        <w:rPr>
          <w:sz w:val="28"/>
          <w:szCs w:val="28"/>
        </w:rPr>
        <w:t>ti</w:t>
      </w:r>
      <w:r w:rsidRPr="00723A65">
        <w:rPr>
          <w:sz w:val="28"/>
          <w:szCs w:val="28"/>
        </w:rPr>
        <w:t xml:space="preserve">smo </w:t>
      </w:r>
      <w:r w:rsidR="00296E64" w:rsidRPr="00723A65">
        <w:rPr>
          <w:sz w:val="28"/>
          <w:szCs w:val="28"/>
        </w:rPr>
        <w:t>“</w:t>
      </w:r>
      <w:r w:rsidRPr="00723A65">
        <w:rPr>
          <w:sz w:val="28"/>
          <w:szCs w:val="28"/>
        </w:rPr>
        <w:t>próprio</w:t>
      </w:r>
      <w:r w:rsidR="00296E64" w:rsidRPr="00723A65">
        <w:rPr>
          <w:sz w:val="28"/>
          <w:szCs w:val="28"/>
        </w:rPr>
        <w:t>”</w:t>
      </w:r>
      <w:r w:rsidR="0090472C" w:rsidRPr="00723A65">
        <w:rPr>
          <w:sz w:val="28"/>
          <w:szCs w:val="28"/>
        </w:rPr>
        <w:t xml:space="preserve"> </w:t>
      </w:r>
      <w:r w:rsidR="000A77FC" w:rsidRPr="00723A65">
        <w:rPr>
          <w:sz w:val="28"/>
          <w:szCs w:val="28"/>
        </w:rPr>
        <w:t>do</w:t>
      </w:r>
      <w:r w:rsidR="0090472C" w:rsidRPr="00723A65">
        <w:rPr>
          <w:sz w:val="28"/>
          <w:szCs w:val="28"/>
        </w:rPr>
        <w:t xml:space="preserve"> </w:t>
      </w:r>
      <w:r w:rsidR="00296E64" w:rsidRPr="00723A65">
        <w:rPr>
          <w:sz w:val="28"/>
          <w:szCs w:val="28"/>
        </w:rPr>
        <w:t>“</w:t>
      </w:r>
      <w:r w:rsidRPr="00723A65">
        <w:rPr>
          <w:sz w:val="28"/>
          <w:szCs w:val="28"/>
        </w:rPr>
        <w:t>impróprio</w:t>
      </w:r>
      <w:r w:rsidR="00296E64" w:rsidRPr="00723A65">
        <w:rPr>
          <w:sz w:val="28"/>
          <w:szCs w:val="28"/>
        </w:rPr>
        <w:t>”</w:t>
      </w:r>
      <w:r w:rsidR="000A77FC" w:rsidRPr="00723A65">
        <w:rPr>
          <w:sz w:val="28"/>
          <w:szCs w:val="28"/>
        </w:rPr>
        <w:t xml:space="preserve">. </w:t>
      </w:r>
      <w:r w:rsidRPr="00723A65">
        <w:rPr>
          <w:sz w:val="28"/>
          <w:szCs w:val="28"/>
        </w:rPr>
        <w:t>Refere</w:t>
      </w:r>
      <w:r w:rsidR="00296E64" w:rsidRPr="00723A65">
        <w:rPr>
          <w:sz w:val="28"/>
          <w:szCs w:val="28"/>
        </w:rPr>
        <w:t xml:space="preserve">, inclusive, </w:t>
      </w:r>
      <w:r w:rsidRPr="00723A65">
        <w:rPr>
          <w:sz w:val="28"/>
          <w:szCs w:val="28"/>
        </w:rPr>
        <w:t>a fa</w:t>
      </w:r>
      <w:r w:rsidR="00296E64" w:rsidRPr="00723A65">
        <w:rPr>
          <w:sz w:val="28"/>
          <w:szCs w:val="28"/>
        </w:rPr>
        <w:t xml:space="preserve">lta de precisão do </w:t>
      </w:r>
      <w:r w:rsidR="0090472C" w:rsidRPr="00723A65">
        <w:rPr>
          <w:sz w:val="28"/>
          <w:szCs w:val="28"/>
        </w:rPr>
        <w:t>con</w:t>
      </w:r>
      <w:r w:rsidR="00296E64" w:rsidRPr="00723A65">
        <w:rPr>
          <w:sz w:val="28"/>
          <w:szCs w:val="28"/>
        </w:rPr>
        <w:t xml:space="preserve">ceito. </w:t>
      </w:r>
      <w:r w:rsidR="0090472C" w:rsidRPr="00723A65">
        <w:rPr>
          <w:sz w:val="28"/>
          <w:szCs w:val="28"/>
        </w:rPr>
        <w:t>E, por último</w:t>
      </w:r>
      <w:r w:rsidR="009B6C0A" w:rsidRPr="00723A65">
        <w:rPr>
          <w:sz w:val="28"/>
          <w:szCs w:val="28"/>
        </w:rPr>
        <w:t>, e</w:t>
      </w:r>
      <w:r w:rsidR="0090472C" w:rsidRPr="00723A65">
        <w:rPr>
          <w:sz w:val="28"/>
          <w:szCs w:val="28"/>
        </w:rPr>
        <w:t xml:space="preserve">nquadra </w:t>
      </w:r>
      <w:r w:rsidR="009B6C0A" w:rsidRPr="00723A65">
        <w:rPr>
          <w:sz w:val="28"/>
          <w:szCs w:val="28"/>
        </w:rPr>
        <w:t xml:space="preserve">o </w:t>
      </w:r>
      <w:r w:rsidR="0090472C" w:rsidRPr="00723A65">
        <w:rPr>
          <w:sz w:val="28"/>
          <w:szCs w:val="28"/>
        </w:rPr>
        <w:t xml:space="preserve">proselitismo </w:t>
      </w:r>
      <w:r w:rsidR="00BA3A03" w:rsidRPr="00723A65">
        <w:rPr>
          <w:sz w:val="28"/>
          <w:szCs w:val="28"/>
        </w:rPr>
        <w:t xml:space="preserve">no </w:t>
      </w:r>
      <w:r w:rsidR="009B6C0A" w:rsidRPr="00723A65">
        <w:rPr>
          <w:sz w:val="28"/>
          <w:szCs w:val="28"/>
        </w:rPr>
        <w:t>“</w:t>
      </w:r>
      <w:r w:rsidR="00BA3A03" w:rsidRPr="00723A65">
        <w:rPr>
          <w:sz w:val="28"/>
          <w:szCs w:val="28"/>
        </w:rPr>
        <w:t>direito de manifestar a sua própria religião</w:t>
      </w:r>
      <w:r w:rsidR="009B6C0A" w:rsidRPr="00723A65">
        <w:rPr>
          <w:sz w:val="28"/>
          <w:szCs w:val="28"/>
        </w:rPr>
        <w:t>”</w:t>
      </w:r>
      <w:r w:rsidR="0042153E" w:rsidRPr="00723A65">
        <w:rPr>
          <w:rStyle w:val="Refdenotaderodap"/>
          <w:rFonts w:eastAsiaTheme="majorEastAsia"/>
          <w:sz w:val="28"/>
          <w:szCs w:val="28"/>
        </w:rPr>
        <w:footnoteReference w:id="13"/>
      </w:r>
      <w:r w:rsidR="0042153E">
        <w:rPr>
          <w:rFonts w:eastAsiaTheme="majorEastAsia"/>
          <w:sz w:val="28"/>
          <w:szCs w:val="28"/>
        </w:rPr>
        <w:t xml:space="preserve">. </w:t>
      </w:r>
      <w:r w:rsidR="00BA3A03" w:rsidRPr="00723A65">
        <w:rPr>
          <w:sz w:val="28"/>
          <w:szCs w:val="28"/>
        </w:rPr>
        <w:t xml:space="preserve">Mas aqui segue a </w:t>
      </w:r>
      <w:r w:rsidR="001E6300">
        <w:rPr>
          <w:sz w:val="28"/>
          <w:szCs w:val="28"/>
        </w:rPr>
        <w:t>juris</w:t>
      </w:r>
      <w:r w:rsidR="00BA3A03" w:rsidRPr="00723A65">
        <w:rPr>
          <w:sz w:val="28"/>
          <w:szCs w:val="28"/>
        </w:rPr>
        <w:t xml:space="preserve">prudência do </w:t>
      </w:r>
      <w:r w:rsidR="0042153E">
        <w:rPr>
          <w:sz w:val="28"/>
          <w:szCs w:val="28"/>
        </w:rPr>
        <w:t>Tribunal Europeu dos Direitos do Homem (</w:t>
      </w:r>
      <w:r w:rsidR="00BA3A03" w:rsidRPr="00723A65">
        <w:rPr>
          <w:sz w:val="28"/>
          <w:szCs w:val="28"/>
        </w:rPr>
        <w:t>TEDH</w:t>
      </w:r>
      <w:r w:rsidR="0042153E">
        <w:rPr>
          <w:sz w:val="28"/>
          <w:szCs w:val="28"/>
        </w:rPr>
        <w:t>)</w:t>
      </w:r>
      <w:r w:rsidR="00BA3A03" w:rsidRPr="00723A65">
        <w:rPr>
          <w:sz w:val="28"/>
          <w:szCs w:val="28"/>
        </w:rPr>
        <w:t xml:space="preserve">. </w:t>
      </w:r>
    </w:p>
    <w:p w:rsidR="009B6C0A" w:rsidRPr="00723A65" w:rsidRDefault="009B6C0A" w:rsidP="009B6C0A">
      <w:pPr>
        <w:spacing w:line="360" w:lineRule="auto"/>
        <w:ind w:firstLine="709"/>
        <w:jc w:val="both"/>
        <w:rPr>
          <w:sz w:val="28"/>
          <w:szCs w:val="28"/>
        </w:rPr>
      </w:pPr>
    </w:p>
    <w:p w:rsidR="0090472C" w:rsidRPr="00723A65" w:rsidRDefault="00755012" w:rsidP="009B6C0A">
      <w:pPr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>1</w:t>
      </w:r>
      <w:r w:rsidR="000A77FC" w:rsidRPr="00723A65">
        <w:rPr>
          <w:sz w:val="28"/>
          <w:szCs w:val="28"/>
        </w:rPr>
        <w:t>3.</w:t>
      </w:r>
      <w:r w:rsidR="0072457B">
        <w:rPr>
          <w:sz w:val="28"/>
          <w:szCs w:val="28"/>
        </w:rPr>
        <w:t xml:space="preserve"> </w:t>
      </w:r>
      <w:r w:rsidR="0042153E">
        <w:rPr>
          <w:sz w:val="28"/>
          <w:szCs w:val="28"/>
        </w:rPr>
        <w:t>A finalizar, uma chamada de atenção no que concerne às</w:t>
      </w:r>
      <w:r w:rsidR="001E6300">
        <w:rPr>
          <w:sz w:val="28"/>
          <w:szCs w:val="28"/>
        </w:rPr>
        <w:t xml:space="preserve"> “</w:t>
      </w:r>
      <w:r w:rsidR="0042153E">
        <w:rPr>
          <w:sz w:val="28"/>
          <w:szCs w:val="28"/>
        </w:rPr>
        <w:t>con-</w:t>
      </w:r>
      <w:r w:rsidR="00307551" w:rsidRPr="001E6300">
        <w:rPr>
          <w:sz w:val="28"/>
          <w:szCs w:val="28"/>
        </w:rPr>
        <w:t>clusões</w:t>
      </w:r>
      <w:r w:rsidR="001E6300" w:rsidRPr="001E6300">
        <w:rPr>
          <w:sz w:val="28"/>
          <w:szCs w:val="28"/>
        </w:rPr>
        <w:t>”</w:t>
      </w:r>
      <w:r w:rsidR="0042153E">
        <w:rPr>
          <w:sz w:val="28"/>
          <w:szCs w:val="28"/>
        </w:rPr>
        <w:t xml:space="preserve"> do seu estudo.</w:t>
      </w:r>
      <w:r w:rsidR="001E6300">
        <w:rPr>
          <w:sz w:val="28"/>
          <w:szCs w:val="28"/>
        </w:rPr>
        <w:t xml:space="preserve"> Estas</w:t>
      </w:r>
      <w:r w:rsidR="0042153E">
        <w:rPr>
          <w:sz w:val="28"/>
          <w:szCs w:val="28"/>
        </w:rPr>
        <w:t xml:space="preserve">, de um ponto de vista formal e objectivo, </w:t>
      </w:r>
      <w:r w:rsidR="001E6300">
        <w:rPr>
          <w:sz w:val="28"/>
          <w:szCs w:val="28"/>
        </w:rPr>
        <w:t>não consistem num r</w:t>
      </w:r>
      <w:r w:rsidR="00574A3B" w:rsidRPr="00723A65">
        <w:rPr>
          <w:sz w:val="28"/>
          <w:szCs w:val="28"/>
        </w:rPr>
        <w:t>etomar dos argumentos</w:t>
      </w:r>
      <w:r w:rsidR="0072457B">
        <w:rPr>
          <w:sz w:val="28"/>
          <w:szCs w:val="28"/>
        </w:rPr>
        <w:t xml:space="preserve"> expendidos ao longo do trabalho</w:t>
      </w:r>
      <w:r w:rsidR="00574A3B" w:rsidRPr="00723A65">
        <w:rPr>
          <w:sz w:val="28"/>
          <w:szCs w:val="28"/>
        </w:rPr>
        <w:t xml:space="preserve">. </w:t>
      </w:r>
      <w:r w:rsidR="001E6300">
        <w:rPr>
          <w:sz w:val="28"/>
          <w:szCs w:val="28"/>
        </w:rPr>
        <w:t>Consistem, antes, em</w:t>
      </w:r>
      <w:r w:rsidR="00574A3B" w:rsidRPr="00723A65">
        <w:rPr>
          <w:sz w:val="28"/>
          <w:szCs w:val="28"/>
        </w:rPr>
        <w:t xml:space="preserve"> determinar o ponto onde se chegou com abertura para o futuro.</w:t>
      </w:r>
      <w:r w:rsidR="009B6C0A" w:rsidRPr="00723A65">
        <w:rPr>
          <w:sz w:val="28"/>
          <w:szCs w:val="28"/>
        </w:rPr>
        <w:t xml:space="preserve"> </w:t>
      </w:r>
    </w:p>
    <w:p w:rsidR="000B10FF" w:rsidRPr="00723A65" w:rsidRDefault="0090472C" w:rsidP="009B6C0A">
      <w:pPr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lastRenderedPageBreak/>
        <w:t>Mas aí</w:t>
      </w:r>
      <w:r w:rsidR="009B6C0A" w:rsidRPr="00723A65">
        <w:rPr>
          <w:sz w:val="28"/>
          <w:szCs w:val="28"/>
        </w:rPr>
        <w:t xml:space="preserve"> define</w:t>
      </w:r>
      <w:r w:rsidRPr="00723A65">
        <w:rPr>
          <w:sz w:val="28"/>
          <w:szCs w:val="28"/>
        </w:rPr>
        <w:t xml:space="preserve"> de uma forma mais clara e </w:t>
      </w:r>
      <w:r w:rsidR="001E6300" w:rsidRPr="00723A65">
        <w:rPr>
          <w:sz w:val="28"/>
          <w:szCs w:val="28"/>
        </w:rPr>
        <w:t>concisa</w:t>
      </w:r>
      <w:r w:rsidR="009B6C0A" w:rsidRPr="00723A65">
        <w:rPr>
          <w:sz w:val="28"/>
          <w:szCs w:val="28"/>
        </w:rPr>
        <w:t xml:space="preserve"> </w:t>
      </w:r>
      <w:r w:rsidR="006C1B34" w:rsidRPr="00723A65">
        <w:rPr>
          <w:sz w:val="28"/>
          <w:szCs w:val="28"/>
        </w:rPr>
        <w:t>a “tolerância” como uma obrigação geral</w:t>
      </w:r>
      <w:r w:rsidR="00574A3B" w:rsidRPr="00723A65">
        <w:rPr>
          <w:sz w:val="28"/>
          <w:szCs w:val="28"/>
        </w:rPr>
        <w:t xml:space="preserve"> de respeito</w:t>
      </w:r>
      <w:r w:rsidR="006C1B34" w:rsidRPr="00723A65">
        <w:rPr>
          <w:sz w:val="28"/>
          <w:szCs w:val="28"/>
        </w:rPr>
        <w:t>. Refere os c</w:t>
      </w:r>
      <w:r w:rsidR="00574A3B" w:rsidRPr="00723A65">
        <w:rPr>
          <w:sz w:val="28"/>
          <w:szCs w:val="28"/>
        </w:rPr>
        <w:t xml:space="preserve">onceitos de </w:t>
      </w:r>
      <w:r w:rsidR="006C1B34" w:rsidRPr="00723A65">
        <w:rPr>
          <w:sz w:val="28"/>
          <w:szCs w:val="28"/>
        </w:rPr>
        <w:t>“</w:t>
      </w:r>
      <w:r w:rsidR="00574A3B" w:rsidRPr="00723A65">
        <w:rPr>
          <w:sz w:val="28"/>
          <w:szCs w:val="28"/>
        </w:rPr>
        <w:t>ordem pública</w:t>
      </w:r>
      <w:r w:rsidR="006C1B34" w:rsidRPr="00723A65">
        <w:rPr>
          <w:sz w:val="28"/>
          <w:szCs w:val="28"/>
        </w:rPr>
        <w:t>”</w:t>
      </w:r>
      <w:r w:rsidR="00574A3B" w:rsidRPr="00723A65">
        <w:rPr>
          <w:sz w:val="28"/>
          <w:szCs w:val="28"/>
        </w:rPr>
        <w:t xml:space="preserve"> e </w:t>
      </w:r>
      <w:r w:rsidR="006C1B34" w:rsidRPr="00723A65">
        <w:rPr>
          <w:sz w:val="28"/>
          <w:szCs w:val="28"/>
        </w:rPr>
        <w:t>“bem comum”. E d</w:t>
      </w:r>
      <w:r w:rsidR="00574A3B" w:rsidRPr="00723A65">
        <w:rPr>
          <w:sz w:val="28"/>
          <w:szCs w:val="28"/>
        </w:rPr>
        <w:t xml:space="preserve">istingue </w:t>
      </w:r>
      <w:r w:rsidR="00296E64" w:rsidRPr="00723A65">
        <w:rPr>
          <w:sz w:val="28"/>
          <w:szCs w:val="28"/>
        </w:rPr>
        <w:t xml:space="preserve">as </w:t>
      </w:r>
      <w:r w:rsidR="006C1B34" w:rsidRPr="00723A65">
        <w:rPr>
          <w:sz w:val="28"/>
          <w:szCs w:val="28"/>
        </w:rPr>
        <w:t>“</w:t>
      </w:r>
      <w:r w:rsidR="00296E64" w:rsidRPr="00723A65">
        <w:rPr>
          <w:sz w:val="28"/>
          <w:szCs w:val="28"/>
        </w:rPr>
        <w:t>ideias</w:t>
      </w:r>
      <w:r w:rsidR="006C1B34" w:rsidRPr="00723A65">
        <w:rPr>
          <w:sz w:val="28"/>
          <w:szCs w:val="28"/>
        </w:rPr>
        <w:t>”</w:t>
      </w:r>
      <w:r w:rsidR="00296E64" w:rsidRPr="00723A65">
        <w:rPr>
          <w:sz w:val="28"/>
          <w:szCs w:val="28"/>
        </w:rPr>
        <w:t xml:space="preserve"> intolera</w:t>
      </w:r>
      <w:r w:rsidR="00574A3B" w:rsidRPr="00723A65">
        <w:rPr>
          <w:sz w:val="28"/>
          <w:szCs w:val="28"/>
        </w:rPr>
        <w:t xml:space="preserve">ntes dos </w:t>
      </w:r>
      <w:r w:rsidR="006C1B34" w:rsidRPr="00723A65">
        <w:rPr>
          <w:sz w:val="28"/>
          <w:szCs w:val="28"/>
        </w:rPr>
        <w:t>“</w:t>
      </w:r>
      <w:r w:rsidR="00574A3B" w:rsidRPr="00723A65">
        <w:rPr>
          <w:sz w:val="28"/>
          <w:szCs w:val="28"/>
        </w:rPr>
        <w:t>comportamentos</w:t>
      </w:r>
      <w:r w:rsidR="006C1B34" w:rsidRPr="00723A65">
        <w:rPr>
          <w:sz w:val="28"/>
          <w:szCs w:val="28"/>
        </w:rPr>
        <w:t>”</w:t>
      </w:r>
      <w:r w:rsidR="00574A3B" w:rsidRPr="00723A65">
        <w:rPr>
          <w:sz w:val="28"/>
          <w:szCs w:val="28"/>
        </w:rPr>
        <w:t xml:space="preserve"> intolerantes</w:t>
      </w:r>
      <w:r w:rsidR="006C1B34" w:rsidRPr="00723A65">
        <w:rPr>
          <w:sz w:val="28"/>
          <w:szCs w:val="28"/>
        </w:rPr>
        <w:t>.</w:t>
      </w:r>
      <w:r w:rsidR="009B6C0A" w:rsidRPr="00723A65">
        <w:rPr>
          <w:sz w:val="28"/>
          <w:szCs w:val="28"/>
        </w:rPr>
        <w:t xml:space="preserve"> </w:t>
      </w:r>
      <w:r w:rsidR="001E6300">
        <w:rPr>
          <w:sz w:val="28"/>
          <w:szCs w:val="28"/>
        </w:rPr>
        <w:t xml:space="preserve">Trata-se, </w:t>
      </w:r>
      <w:r w:rsidR="000B10FF" w:rsidRPr="00723A65">
        <w:rPr>
          <w:sz w:val="28"/>
          <w:szCs w:val="28"/>
        </w:rPr>
        <w:t xml:space="preserve">como muito bem refere, </w:t>
      </w:r>
      <w:r w:rsidR="001E6300">
        <w:rPr>
          <w:sz w:val="28"/>
          <w:szCs w:val="28"/>
        </w:rPr>
        <w:t xml:space="preserve">de </w:t>
      </w:r>
      <w:r w:rsidR="000B10FF" w:rsidRPr="00723A65">
        <w:rPr>
          <w:sz w:val="28"/>
          <w:szCs w:val="28"/>
        </w:rPr>
        <w:t xml:space="preserve">uma </w:t>
      </w:r>
      <w:r w:rsidRPr="00723A65">
        <w:rPr>
          <w:sz w:val="28"/>
          <w:szCs w:val="28"/>
        </w:rPr>
        <w:t>ques</w:t>
      </w:r>
      <w:r w:rsidR="000B10FF" w:rsidRPr="00723A65">
        <w:rPr>
          <w:sz w:val="28"/>
          <w:szCs w:val="28"/>
        </w:rPr>
        <w:t>tão de “edu</w:t>
      </w:r>
      <w:r w:rsidR="001E6300">
        <w:rPr>
          <w:sz w:val="28"/>
          <w:szCs w:val="28"/>
        </w:rPr>
        <w:t>-</w:t>
      </w:r>
      <w:r w:rsidR="000B10FF" w:rsidRPr="00723A65">
        <w:rPr>
          <w:sz w:val="28"/>
          <w:szCs w:val="28"/>
        </w:rPr>
        <w:t xml:space="preserve">cação cívica”. Numa palavra, de “civilidade”. </w:t>
      </w:r>
    </w:p>
    <w:p w:rsidR="007B3C1D" w:rsidRPr="00723A65" w:rsidRDefault="007B3C1D" w:rsidP="000B10F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472C" w:rsidRPr="00723A65" w:rsidRDefault="00755012" w:rsidP="0090472C">
      <w:pPr>
        <w:spacing w:line="360" w:lineRule="auto"/>
        <w:ind w:firstLine="567"/>
        <w:jc w:val="both"/>
        <w:rPr>
          <w:sz w:val="28"/>
          <w:szCs w:val="28"/>
        </w:rPr>
      </w:pPr>
      <w:r w:rsidRPr="00723A65">
        <w:rPr>
          <w:sz w:val="28"/>
          <w:szCs w:val="28"/>
        </w:rPr>
        <w:t>1</w:t>
      </w:r>
      <w:r w:rsidR="000A77FC" w:rsidRPr="00723A65">
        <w:rPr>
          <w:sz w:val="28"/>
          <w:szCs w:val="28"/>
        </w:rPr>
        <w:t>4</w:t>
      </w:r>
      <w:r w:rsidR="0090472C" w:rsidRPr="00723A65">
        <w:rPr>
          <w:sz w:val="28"/>
          <w:szCs w:val="28"/>
        </w:rPr>
        <w:t>. Do meu ponto de vista, o ponto mais fraco desta dissertação radica no es</w:t>
      </w:r>
      <w:r w:rsidR="0042153E">
        <w:rPr>
          <w:sz w:val="28"/>
          <w:szCs w:val="28"/>
        </w:rPr>
        <w:t xml:space="preserve">forço de construção teórica </w:t>
      </w:r>
      <w:r w:rsidR="0072457B" w:rsidRPr="00281EB0">
        <w:rPr>
          <w:i/>
          <w:sz w:val="28"/>
          <w:szCs w:val="28"/>
        </w:rPr>
        <w:t>―</w:t>
      </w:r>
      <w:r w:rsidR="001E6300">
        <w:rPr>
          <w:sz w:val="28"/>
          <w:szCs w:val="28"/>
        </w:rPr>
        <w:t xml:space="preserve"> a</w:t>
      </w:r>
      <w:r w:rsidR="0090472C" w:rsidRPr="00723A65">
        <w:rPr>
          <w:sz w:val="28"/>
          <w:szCs w:val="28"/>
        </w:rPr>
        <w:t xml:space="preserve"> lógica dos conceitos</w:t>
      </w:r>
      <w:r w:rsidR="0072457B">
        <w:rPr>
          <w:sz w:val="28"/>
          <w:szCs w:val="28"/>
        </w:rPr>
        <w:t xml:space="preserve"> </w:t>
      </w:r>
      <w:r w:rsidR="0072457B" w:rsidRPr="00281EB0">
        <w:rPr>
          <w:i/>
          <w:sz w:val="28"/>
          <w:szCs w:val="28"/>
        </w:rPr>
        <w:t>―</w:t>
      </w:r>
      <w:r w:rsidR="0090472C" w:rsidRPr="00723A65">
        <w:rPr>
          <w:sz w:val="28"/>
          <w:szCs w:val="28"/>
        </w:rPr>
        <w:t>, uma questão verdadeiramente fundacional, a meu ver deficiente, e, consequentemente, numa mais clara articulação normativa dos respectivos conceitos e pro</w:t>
      </w:r>
      <w:r w:rsidR="001E6300">
        <w:rPr>
          <w:sz w:val="28"/>
          <w:szCs w:val="28"/>
        </w:rPr>
        <w:t>-</w:t>
      </w:r>
      <w:r w:rsidR="0090472C" w:rsidRPr="00723A65">
        <w:rPr>
          <w:sz w:val="28"/>
          <w:szCs w:val="28"/>
        </w:rPr>
        <w:t xml:space="preserve">blemas. </w:t>
      </w:r>
    </w:p>
    <w:p w:rsidR="0090472C" w:rsidRPr="00723A65" w:rsidRDefault="0090472C" w:rsidP="0090472C">
      <w:pPr>
        <w:spacing w:line="360" w:lineRule="auto"/>
        <w:ind w:firstLine="567"/>
        <w:jc w:val="both"/>
        <w:rPr>
          <w:sz w:val="28"/>
          <w:szCs w:val="28"/>
        </w:rPr>
      </w:pPr>
      <w:r w:rsidRPr="00723A65">
        <w:rPr>
          <w:sz w:val="28"/>
          <w:szCs w:val="28"/>
        </w:rPr>
        <w:t>Não que a tese seja descritiva, mas encontra-se redigida sob a forma de “relatório”. Esta opção não levantaria problemas de maior se o rigor, so</w:t>
      </w:r>
      <w:r w:rsidR="001E6300">
        <w:rPr>
          <w:sz w:val="28"/>
          <w:szCs w:val="28"/>
        </w:rPr>
        <w:t>-</w:t>
      </w:r>
      <w:r w:rsidRPr="00723A65">
        <w:rPr>
          <w:sz w:val="28"/>
          <w:szCs w:val="28"/>
        </w:rPr>
        <w:t xml:space="preserve">lidificação e lógica dos conceitos dela resultassem convincentes em medida considerável. </w:t>
      </w:r>
    </w:p>
    <w:p w:rsidR="0090472C" w:rsidRPr="00723A65" w:rsidRDefault="0090472C" w:rsidP="000B10FF">
      <w:pPr>
        <w:spacing w:line="360" w:lineRule="auto"/>
        <w:ind w:firstLine="709"/>
        <w:jc w:val="both"/>
        <w:rPr>
          <w:sz w:val="28"/>
          <w:szCs w:val="28"/>
        </w:rPr>
      </w:pPr>
    </w:p>
    <w:p w:rsidR="000B10FF" w:rsidRPr="00723A65" w:rsidRDefault="0072457B" w:rsidP="000B10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fim</w:t>
      </w:r>
      <w:r w:rsidR="000B10FF" w:rsidRPr="00723A65">
        <w:rPr>
          <w:sz w:val="28"/>
          <w:szCs w:val="28"/>
        </w:rPr>
        <w:t>, antes de pedir à Senhora Presidente que dê a palavra ao candidato, gostaria de relevar a importância destes temas, o esforço pessoal do mestrando, e desejar-lhe as maiores felicidades</w:t>
      </w:r>
      <w:r w:rsidR="001E6300">
        <w:rPr>
          <w:sz w:val="28"/>
          <w:szCs w:val="28"/>
        </w:rPr>
        <w:t xml:space="preserve"> na realização das suas pro</w:t>
      </w:r>
      <w:r w:rsidR="0090472C" w:rsidRPr="00723A65">
        <w:rPr>
          <w:sz w:val="28"/>
          <w:szCs w:val="28"/>
        </w:rPr>
        <w:t>vas</w:t>
      </w:r>
      <w:r w:rsidR="000B10FF" w:rsidRPr="00723A65">
        <w:rPr>
          <w:sz w:val="28"/>
          <w:szCs w:val="28"/>
        </w:rPr>
        <w:t>.</w:t>
      </w:r>
    </w:p>
    <w:p w:rsidR="0072457B" w:rsidRPr="00723A65" w:rsidRDefault="0072457B" w:rsidP="007245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Porto, </w:t>
      </w:r>
      <w:r w:rsidRPr="00723A65">
        <w:rPr>
          <w:sz w:val="28"/>
          <w:szCs w:val="28"/>
        </w:rPr>
        <w:t xml:space="preserve">27 de Novembro de 2012.  </w:t>
      </w:r>
    </w:p>
    <w:p w:rsidR="000B10FF" w:rsidRPr="00723A65" w:rsidRDefault="000B10FF" w:rsidP="000B10FF">
      <w:pPr>
        <w:spacing w:line="360" w:lineRule="auto"/>
        <w:ind w:firstLine="709"/>
        <w:jc w:val="both"/>
        <w:rPr>
          <w:sz w:val="28"/>
          <w:szCs w:val="28"/>
        </w:rPr>
      </w:pPr>
    </w:p>
    <w:p w:rsidR="000B10FF" w:rsidRPr="00723A65" w:rsidRDefault="000B10FF" w:rsidP="000B10FF">
      <w:pPr>
        <w:spacing w:line="360" w:lineRule="auto"/>
        <w:ind w:firstLine="709"/>
        <w:jc w:val="both"/>
        <w:rPr>
          <w:sz w:val="28"/>
          <w:szCs w:val="28"/>
        </w:rPr>
      </w:pPr>
      <w:r w:rsidRPr="00723A65">
        <w:rPr>
          <w:sz w:val="28"/>
          <w:szCs w:val="28"/>
        </w:rPr>
        <w:t xml:space="preserve">Muito obrigada. </w:t>
      </w:r>
    </w:p>
    <w:p w:rsidR="000B10FF" w:rsidRDefault="000B10FF" w:rsidP="000B10FF">
      <w:pPr>
        <w:spacing w:line="360" w:lineRule="auto"/>
        <w:ind w:firstLine="709"/>
        <w:jc w:val="both"/>
        <w:rPr>
          <w:sz w:val="28"/>
          <w:szCs w:val="28"/>
        </w:rPr>
      </w:pPr>
    </w:p>
    <w:p w:rsidR="003171F2" w:rsidRPr="00723A65" w:rsidRDefault="00590603" w:rsidP="005906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Cristina M. M. Queiroz</w:t>
      </w:r>
      <w:r w:rsidR="006917DE" w:rsidRPr="00723A65">
        <w:rPr>
          <w:sz w:val="28"/>
          <w:szCs w:val="28"/>
        </w:rPr>
        <w:t xml:space="preserve"> </w:t>
      </w:r>
    </w:p>
    <w:sectPr w:rsidR="003171F2" w:rsidRPr="00723A65" w:rsidSect="00474640">
      <w:footerReference w:type="even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5B2" w:rsidRDefault="004035B2" w:rsidP="000B10FF">
      <w:r>
        <w:separator/>
      </w:r>
    </w:p>
  </w:endnote>
  <w:endnote w:type="continuationSeparator" w:id="0">
    <w:p w:rsidR="004035B2" w:rsidRDefault="004035B2" w:rsidP="000B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B43" w:rsidRDefault="00560B43" w:rsidP="00474640">
    <w:pPr>
      <w:pStyle w:val="Rodap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:rsidR="00560B43" w:rsidRDefault="00560B43" w:rsidP="0047464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B43" w:rsidRDefault="00560B43" w:rsidP="00474640">
    <w:pPr>
      <w:pStyle w:val="Rodap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separate"/>
    </w:r>
    <w:r w:rsidR="00262F31">
      <w:rPr>
        <w:rStyle w:val="Nmerodepgina"/>
        <w:rFonts w:eastAsiaTheme="majorEastAsia"/>
        <w:noProof/>
      </w:rPr>
      <w:t>2</w:t>
    </w:r>
    <w:r>
      <w:rPr>
        <w:rStyle w:val="Nmerodepgina"/>
        <w:rFonts w:eastAsiaTheme="majorEastAsia"/>
      </w:rPr>
      <w:fldChar w:fldCharType="end"/>
    </w:r>
  </w:p>
  <w:p w:rsidR="00560B43" w:rsidRDefault="00560B43" w:rsidP="004746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5B2" w:rsidRDefault="004035B2" w:rsidP="000B10FF">
      <w:r>
        <w:separator/>
      </w:r>
    </w:p>
  </w:footnote>
  <w:footnote w:type="continuationSeparator" w:id="0">
    <w:p w:rsidR="004035B2" w:rsidRDefault="004035B2" w:rsidP="000B10FF">
      <w:r>
        <w:continuationSeparator/>
      </w:r>
    </w:p>
  </w:footnote>
  <w:footnote w:id="1">
    <w:p w:rsidR="00DE2EDB" w:rsidRPr="00DE2EDB" w:rsidRDefault="00DE2EDB" w:rsidP="00DE2EDB">
      <w:pPr>
        <w:pStyle w:val="Textodenotaderodap"/>
        <w:spacing w:line="360" w:lineRule="auto"/>
        <w:ind w:firstLine="709"/>
        <w:jc w:val="both"/>
        <w:rPr>
          <w:sz w:val="24"/>
          <w:lang w:val="pt-PT"/>
        </w:rPr>
      </w:pPr>
      <w:r>
        <w:rPr>
          <w:rStyle w:val="Refdenotaderodap"/>
          <w:rFonts w:eastAsiaTheme="majorEastAsia"/>
          <w:sz w:val="24"/>
        </w:rPr>
        <w:footnoteRef/>
      </w:r>
      <w:r w:rsidRPr="00DE2EDB">
        <w:rPr>
          <w:sz w:val="24"/>
          <w:lang w:val="pt-PT"/>
        </w:rPr>
        <w:t xml:space="preserve"> Cfr.,</w:t>
      </w:r>
      <w:r>
        <w:rPr>
          <w:sz w:val="24"/>
          <w:lang w:val="pt-PT"/>
        </w:rPr>
        <w:t xml:space="preserve"> </w:t>
      </w:r>
      <w:r w:rsidRPr="00DE2EDB">
        <w:rPr>
          <w:i/>
          <w:sz w:val="24"/>
          <w:lang w:val="pt-PT"/>
        </w:rPr>
        <w:t>Relatório</w:t>
      </w:r>
      <w:r>
        <w:rPr>
          <w:sz w:val="24"/>
          <w:lang w:val="pt-PT"/>
        </w:rPr>
        <w:t xml:space="preserve">, p. 3. </w:t>
      </w:r>
    </w:p>
  </w:footnote>
  <w:footnote w:id="2">
    <w:p w:rsidR="00560B43" w:rsidRPr="00723A65" w:rsidRDefault="00560B43" w:rsidP="00847BCB">
      <w:pPr>
        <w:pStyle w:val="Textodenotaderodap"/>
        <w:spacing w:line="360" w:lineRule="auto"/>
        <w:ind w:firstLine="709"/>
        <w:jc w:val="both"/>
        <w:rPr>
          <w:sz w:val="24"/>
          <w:lang w:val="en-US"/>
        </w:rPr>
      </w:pPr>
      <w:r>
        <w:rPr>
          <w:rStyle w:val="Refdenotaderodap"/>
          <w:rFonts w:eastAsiaTheme="majorEastAsia"/>
          <w:sz w:val="24"/>
        </w:rPr>
        <w:footnoteRef/>
      </w:r>
      <w:r w:rsidRPr="00DE2EDB">
        <w:rPr>
          <w:sz w:val="24"/>
          <w:lang w:val="pt-PT"/>
        </w:rPr>
        <w:t xml:space="preserve"> JOHN MILTON, </w:t>
      </w:r>
      <w:r w:rsidRPr="00DE2EDB">
        <w:rPr>
          <w:i/>
          <w:sz w:val="24"/>
          <w:lang w:val="pt-PT"/>
        </w:rPr>
        <w:t>Aeropagitica</w:t>
      </w:r>
      <w:r w:rsidRPr="00DE2EDB">
        <w:rPr>
          <w:sz w:val="24"/>
          <w:lang w:val="pt-PT"/>
        </w:rPr>
        <w:t xml:space="preserve">, ed. </w:t>
      </w:r>
      <w:r>
        <w:rPr>
          <w:sz w:val="24"/>
          <w:lang w:val="en-US"/>
        </w:rPr>
        <w:t>Mortimer J. Adler, “</w:t>
      </w:r>
      <w:r w:rsidRPr="00945315">
        <w:rPr>
          <w:sz w:val="24"/>
          <w:lang w:val="en-US"/>
        </w:rPr>
        <w:t>Great Books</w:t>
      </w:r>
      <w:r>
        <w:rPr>
          <w:sz w:val="24"/>
          <w:lang w:val="en-US"/>
        </w:rPr>
        <w:t>”</w:t>
      </w:r>
      <w:r w:rsidRPr="00945315">
        <w:rPr>
          <w:sz w:val="24"/>
          <w:lang w:val="en-US"/>
        </w:rPr>
        <w:t xml:space="preserve">, vol. 29, Encyclopaedia Britanica, Chicago, 2ª ed., 4ª reimp. 1993, pp. 379 ss., e JOHN LOCKE, </w:t>
      </w:r>
      <w:r w:rsidRPr="00945315">
        <w:rPr>
          <w:i/>
          <w:sz w:val="24"/>
          <w:lang w:val="en-US"/>
        </w:rPr>
        <w:t>A Letter Concerning Toleration</w:t>
      </w:r>
      <w:r w:rsidRPr="00945315">
        <w:rPr>
          <w:sz w:val="24"/>
          <w:lang w:val="en-US"/>
        </w:rPr>
        <w:t>,</w:t>
      </w:r>
      <w:r w:rsidR="00DE2EDB" w:rsidRPr="00DE2EDB">
        <w:rPr>
          <w:sz w:val="24"/>
          <w:lang w:val="en-US"/>
        </w:rPr>
        <w:t xml:space="preserve"> </w:t>
      </w:r>
      <w:r w:rsidR="00DE2EDB">
        <w:rPr>
          <w:sz w:val="24"/>
          <w:lang w:val="en-US"/>
        </w:rPr>
        <w:t>ed. Mortimer J. Adler, “</w:t>
      </w:r>
      <w:r w:rsidR="00DE2EDB" w:rsidRPr="00945315">
        <w:rPr>
          <w:sz w:val="24"/>
          <w:lang w:val="en-US"/>
        </w:rPr>
        <w:t>Great Books</w:t>
      </w:r>
      <w:r w:rsidR="00DE2EDB">
        <w:rPr>
          <w:sz w:val="24"/>
          <w:lang w:val="en-US"/>
        </w:rPr>
        <w:t>”</w:t>
      </w:r>
      <w:r w:rsidR="00DE2EDB" w:rsidRPr="00945315">
        <w:rPr>
          <w:sz w:val="24"/>
          <w:lang w:val="en-US"/>
        </w:rPr>
        <w:t>, vol. 29, Ency</w:t>
      </w:r>
      <w:r w:rsidR="00DE2EDB">
        <w:rPr>
          <w:sz w:val="24"/>
          <w:lang w:val="en-US"/>
        </w:rPr>
        <w:t>-</w:t>
      </w:r>
      <w:r w:rsidR="00DE2EDB" w:rsidRPr="00945315">
        <w:rPr>
          <w:sz w:val="24"/>
          <w:lang w:val="en-US"/>
        </w:rPr>
        <w:t>clopaedia Britanica,</w:t>
      </w:r>
      <w:r w:rsidR="00DE2EDB">
        <w:rPr>
          <w:sz w:val="24"/>
          <w:lang w:val="en-US"/>
        </w:rPr>
        <w:t xml:space="preserve"> cit</w:t>
      </w:r>
      <w:r>
        <w:rPr>
          <w:sz w:val="24"/>
          <w:lang w:val="en-US"/>
        </w:rPr>
        <w:t xml:space="preserve">., </w:t>
      </w:r>
      <w:r w:rsidRPr="00945315">
        <w:rPr>
          <w:sz w:val="24"/>
          <w:lang w:val="en-US"/>
        </w:rPr>
        <w:t>pp. 1 ss.</w:t>
      </w:r>
      <w:r>
        <w:rPr>
          <w:sz w:val="24"/>
          <w:lang w:val="en-US"/>
        </w:rPr>
        <w:t xml:space="preserve"> </w:t>
      </w:r>
    </w:p>
  </w:footnote>
  <w:footnote w:id="3">
    <w:p w:rsidR="00560B43" w:rsidRPr="00924B30" w:rsidRDefault="00560B43" w:rsidP="00847BCB">
      <w:pPr>
        <w:pStyle w:val="Textodenotaderodap"/>
        <w:spacing w:line="360" w:lineRule="auto"/>
        <w:ind w:firstLine="709"/>
        <w:jc w:val="both"/>
        <w:rPr>
          <w:sz w:val="24"/>
          <w:lang w:val="pt-PT"/>
        </w:rPr>
      </w:pPr>
      <w:r>
        <w:rPr>
          <w:rStyle w:val="Refdenotaderodap"/>
          <w:rFonts w:eastAsiaTheme="majorEastAsia"/>
          <w:sz w:val="24"/>
        </w:rPr>
        <w:footnoteRef/>
      </w:r>
      <w:r w:rsidRPr="00945315">
        <w:rPr>
          <w:sz w:val="24"/>
          <w:lang w:val="en-US"/>
        </w:rPr>
        <w:t xml:space="preserve"> REINHOLD ZIPPELIUS, </w:t>
      </w:r>
      <w:r w:rsidRPr="00945315">
        <w:rPr>
          <w:i/>
          <w:sz w:val="24"/>
          <w:lang w:val="en-US"/>
        </w:rPr>
        <w:t>Staat und Kirche. Eine Geschichte von der Antike bis zur Gegenwart</w:t>
      </w:r>
      <w:r w:rsidRPr="00945315">
        <w:rPr>
          <w:sz w:val="24"/>
          <w:lang w:val="en-US"/>
        </w:rPr>
        <w:t>, Munique 1997, pp. 62, 78 ss., e J. H. BURNS (dir.),</w:t>
      </w:r>
      <w:r w:rsidRPr="00945315">
        <w:rPr>
          <w:i/>
          <w:sz w:val="24"/>
          <w:lang w:val="en-US"/>
        </w:rPr>
        <w:t xml:space="preserve"> The Cambridge History of Political Thought: 1450-1700</w:t>
      </w:r>
      <w:r w:rsidRPr="00945315">
        <w:rPr>
          <w:sz w:val="24"/>
          <w:lang w:val="en-US"/>
        </w:rPr>
        <w:t xml:space="preserve"> (trad. franc. </w:t>
      </w:r>
      <w:r w:rsidRPr="00847BCB">
        <w:rPr>
          <w:sz w:val="24"/>
          <w:lang w:val="pt-PT"/>
        </w:rPr>
        <w:t>“Histoire de la Pensée Politique Moderne”), Pa</w:t>
      </w:r>
      <w:r>
        <w:rPr>
          <w:sz w:val="24"/>
          <w:lang w:val="pt-PT"/>
        </w:rPr>
        <w:t>ris: Leviathan</w:t>
      </w:r>
      <w:r w:rsidR="0075469F">
        <w:rPr>
          <w:sz w:val="24"/>
          <w:lang w:val="pt-PT"/>
        </w:rPr>
        <w:t>,</w:t>
      </w:r>
      <w:r>
        <w:rPr>
          <w:sz w:val="24"/>
          <w:lang w:val="pt-PT"/>
        </w:rPr>
        <w:t xml:space="preserve"> 1997, pp. 143 ss. </w:t>
      </w:r>
    </w:p>
  </w:footnote>
  <w:footnote w:id="4">
    <w:p w:rsidR="00DE2EDB" w:rsidRPr="00DE2EDB" w:rsidRDefault="00DE2EDB" w:rsidP="00DE2EDB">
      <w:pPr>
        <w:pStyle w:val="Textodenotaderodap"/>
        <w:spacing w:line="360" w:lineRule="auto"/>
        <w:ind w:firstLine="709"/>
        <w:jc w:val="both"/>
        <w:rPr>
          <w:sz w:val="24"/>
          <w:lang w:val="pt-PT"/>
        </w:rPr>
      </w:pPr>
      <w:r>
        <w:rPr>
          <w:rStyle w:val="Refdenotaderodap"/>
          <w:rFonts w:eastAsiaTheme="majorEastAsia"/>
          <w:sz w:val="24"/>
        </w:rPr>
        <w:footnoteRef/>
      </w:r>
      <w:r w:rsidRPr="00DE2EDB">
        <w:rPr>
          <w:sz w:val="24"/>
          <w:lang w:val="pt-PT"/>
        </w:rPr>
        <w:t xml:space="preserve"> Cfr.,</w:t>
      </w:r>
      <w:r>
        <w:rPr>
          <w:sz w:val="24"/>
          <w:lang w:val="pt-PT"/>
        </w:rPr>
        <w:t xml:space="preserve"> </w:t>
      </w:r>
      <w:r w:rsidRPr="00DE2EDB">
        <w:rPr>
          <w:i/>
          <w:sz w:val="24"/>
          <w:lang w:val="pt-PT"/>
        </w:rPr>
        <w:t>Relatório</w:t>
      </w:r>
      <w:r>
        <w:rPr>
          <w:sz w:val="24"/>
          <w:lang w:val="pt-PT"/>
        </w:rPr>
        <w:t xml:space="preserve">, p. 14. </w:t>
      </w:r>
    </w:p>
  </w:footnote>
  <w:footnote w:id="5">
    <w:p w:rsidR="00560B43" w:rsidRPr="00942272" w:rsidRDefault="00560B43" w:rsidP="001E2542">
      <w:pPr>
        <w:pStyle w:val="Textodenotaderodap"/>
        <w:spacing w:line="360" w:lineRule="auto"/>
        <w:ind w:firstLine="709"/>
        <w:jc w:val="both"/>
        <w:rPr>
          <w:sz w:val="24"/>
          <w:lang w:val="pt-PT"/>
        </w:rPr>
      </w:pPr>
      <w:r>
        <w:rPr>
          <w:rStyle w:val="Refdenotaderodap"/>
          <w:sz w:val="24"/>
        </w:rPr>
        <w:footnoteRef/>
      </w:r>
      <w:r w:rsidRPr="00942272">
        <w:rPr>
          <w:sz w:val="24"/>
          <w:lang w:val="pt-PT"/>
        </w:rPr>
        <w:t xml:space="preserve"> CHAÏM PERELMAN, </w:t>
      </w:r>
      <w:r w:rsidRPr="00942272">
        <w:rPr>
          <w:i/>
          <w:sz w:val="24"/>
          <w:lang w:val="pt-PT"/>
        </w:rPr>
        <w:t>Éthique et Droit</w:t>
      </w:r>
      <w:r w:rsidRPr="00942272">
        <w:rPr>
          <w:sz w:val="24"/>
          <w:lang w:val="pt-PT"/>
        </w:rPr>
        <w:t xml:space="preserve"> (trad. bras. "Ética e Direito"), São Paulo 1996, p. 315. </w:t>
      </w:r>
    </w:p>
  </w:footnote>
  <w:footnote w:id="6">
    <w:p w:rsidR="00560B43" w:rsidRPr="002B7D0A" w:rsidRDefault="00560B43" w:rsidP="001E2542">
      <w:pPr>
        <w:pStyle w:val="Textodenotaderodap"/>
        <w:spacing w:line="360" w:lineRule="auto"/>
        <w:ind w:firstLine="709"/>
        <w:jc w:val="both"/>
        <w:rPr>
          <w:sz w:val="24"/>
          <w:lang w:val="en-US"/>
        </w:rPr>
      </w:pPr>
      <w:r>
        <w:rPr>
          <w:rStyle w:val="Refdenotaderodap"/>
          <w:sz w:val="24"/>
        </w:rPr>
        <w:footnoteRef/>
      </w:r>
      <w:r w:rsidRPr="002B7D0A">
        <w:rPr>
          <w:sz w:val="24"/>
          <w:lang w:val="en-US"/>
        </w:rPr>
        <w:t xml:space="preserve"> Ibid. </w:t>
      </w:r>
    </w:p>
  </w:footnote>
  <w:footnote w:id="7">
    <w:p w:rsidR="00382993" w:rsidRPr="00382993" w:rsidRDefault="00382993" w:rsidP="00382993">
      <w:pPr>
        <w:pStyle w:val="Textodenotaderodap"/>
        <w:spacing w:line="360" w:lineRule="auto"/>
        <w:ind w:firstLine="709"/>
        <w:jc w:val="both"/>
        <w:rPr>
          <w:sz w:val="24"/>
          <w:lang w:val="en-US"/>
        </w:rPr>
      </w:pPr>
      <w:r>
        <w:rPr>
          <w:rStyle w:val="Refdenotaderodap"/>
          <w:rFonts w:eastAsiaTheme="majorEastAsia"/>
          <w:sz w:val="24"/>
        </w:rPr>
        <w:footnoteRef/>
      </w:r>
      <w:r w:rsidRPr="00382993">
        <w:rPr>
          <w:sz w:val="24"/>
          <w:lang w:val="en-US"/>
        </w:rPr>
        <w:t xml:space="preserve"> Cfr., </w:t>
      </w:r>
      <w:r w:rsidRPr="00382993">
        <w:rPr>
          <w:i/>
          <w:sz w:val="24"/>
          <w:lang w:val="en-US"/>
        </w:rPr>
        <w:t>Relatório</w:t>
      </w:r>
      <w:r w:rsidRPr="00382993">
        <w:rPr>
          <w:sz w:val="24"/>
          <w:lang w:val="en-US"/>
        </w:rPr>
        <w:t xml:space="preserve">, p. </w:t>
      </w:r>
      <w:r>
        <w:rPr>
          <w:sz w:val="24"/>
          <w:lang w:val="en-US"/>
        </w:rPr>
        <w:t>27 “in fine”</w:t>
      </w:r>
      <w:r w:rsidRPr="00382993">
        <w:rPr>
          <w:sz w:val="24"/>
          <w:lang w:val="en-US"/>
        </w:rPr>
        <w:t xml:space="preserve">. </w:t>
      </w:r>
    </w:p>
  </w:footnote>
  <w:footnote w:id="8">
    <w:p w:rsidR="00382993" w:rsidRPr="00A5095B" w:rsidRDefault="00382993" w:rsidP="00382993">
      <w:pPr>
        <w:pStyle w:val="Textodenotaderodap"/>
        <w:spacing w:line="360" w:lineRule="auto"/>
        <w:ind w:firstLine="709"/>
        <w:jc w:val="both"/>
        <w:rPr>
          <w:sz w:val="24"/>
          <w:lang w:val="en-US"/>
        </w:rPr>
      </w:pPr>
      <w:r>
        <w:rPr>
          <w:rStyle w:val="Refdenotaderodap"/>
          <w:rFonts w:eastAsiaTheme="majorEastAsia"/>
          <w:sz w:val="24"/>
        </w:rPr>
        <w:footnoteRef/>
      </w:r>
      <w:r w:rsidRPr="00A5095B">
        <w:rPr>
          <w:sz w:val="24"/>
          <w:lang w:val="en-US"/>
        </w:rPr>
        <w:t xml:space="preserve"> </w:t>
      </w:r>
      <w:r w:rsidRPr="00A5095B">
        <w:rPr>
          <w:i/>
          <w:sz w:val="24"/>
          <w:lang w:val="en-US"/>
        </w:rPr>
        <w:t>Ibidem</w:t>
      </w:r>
      <w:r w:rsidRPr="00A5095B">
        <w:rPr>
          <w:sz w:val="24"/>
          <w:lang w:val="en-US"/>
        </w:rPr>
        <w:t xml:space="preserve">, p. 25. </w:t>
      </w:r>
    </w:p>
  </w:footnote>
  <w:footnote w:id="9">
    <w:p w:rsidR="00382993" w:rsidRPr="00A5095B" w:rsidRDefault="00382993" w:rsidP="00382993">
      <w:pPr>
        <w:pStyle w:val="Textodenotaderodap"/>
        <w:spacing w:line="360" w:lineRule="auto"/>
        <w:ind w:firstLine="709"/>
        <w:jc w:val="both"/>
        <w:rPr>
          <w:sz w:val="24"/>
          <w:lang w:val="en-US"/>
        </w:rPr>
      </w:pPr>
      <w:r>
        <w:rPr>
          <w:rStyle w:val="Refdenotaderodap"/>
          <w:rFonts w:eastAsiaTheme="majorEastAsia"/>
          <w:sz w:val="24"/>
        </w:rPr>
        <w:footnoteRef/>
      </w:r>
      <w:r w:rsidRPr="00A5095B">
        <w:rPr>
          <w:sz w:val="24"/>
          <w:lang w:val="en-US"/>
        </w:rPr>
        <w:t xml:space="preserve"> </w:t>
      </w:r>
      <w:r w:rsidRPr="00A5095B">
        <w:rPr>
          <w:i/>
          <w:sz w:val="24"/>
          <w:lang w:val="en-US"/>
        </w:rPr>
        <w:t>Ibidem</w:t>
      </w:r>
      <w:r w:rsidRPr="00A5095B">
        <w:rPr>
          <w:sz w:val="24"/>
          <w:lang w:val="en-US"/>
        </w:rPr>
        <w:t>, p. 26.</w:t>
      </w:r>
    </w:p>
  </w:footnote>
  <w:footnote w:id="10">
    <w:p w:rsidR="00560B43" w:rsidRPr="00945315" w:rsidRDefault="00560B43" w:rsidP="001E2542">
      <w:pPr>
        <w:pStyle w:val="Textodenotaderodap"/>
        <w:spacing w:line="360" w:lineRule="auto"/>
        <w:ind w:firstLine="709"/>
        <w:jc w:val="both"/>
        <w:rPr>
          <w:sz w:val="24"/>
          <w:lang w:val="en-US"/>
        </w:rPr>
      </w:pPr>
      <w:r>
        <w:rPr>
          <w:rStyle w:val="Refdenotaderodap"/>
          <w:sz w:val="24"/>
        </w:rPr>
        <w:footnoteRef/>
      </w:r>
      <w:r w:rsidRPr="00945315">
        <w:rPr>
          <w:sz w:val="24"/>
          <w:lang w:val="en-US"/>
        </w:rPr>
        <w:t xml:space="preserve"> Cfr., </w:t>
      </w:r>
      <w:r w:rsidRPr="00945315">
        <w:rPr>
          <w:i/>
          <w:sz w:val="24"/>
          <w:lang w:val="en-US"/>
        </w:rPr>
        <w:t>Wooley v. Maynard</w:t>
      </w:r>
      <w:r w:rsidRPr="00945315">
        <w:rPr>
          <w:sz w:val="24"/>
          <w:lang w:val="en-US"/>
        </w:rPr>
        <w:t>, 430 U.S. 705, 715 (1977).</w:t>
      </w:r>
    </w:p>
  </w:footnote>
  <w:footnote w:id="11">
    <w:p w:rsidR="00382993" w:rsidRPr="00DE2EDB" w:rsidRDefault="00382993" w:rsidP="00382993">
      <w:pPr>
        <w:pStyle w:val="Textodenotaderodap"/>
        <w:spacing w:line="360" w:lineRule="auto"/>
        <w:ind w:firstLine="709"/>
        <w:jc w:val="both"/>
        <w:rPr>
          <w:sz w:val="24"/>
          <w:lang w:val="pt-PT"/>
        </w:rPr>
      </w:pPr>
      <w:r>
        <w:rPr>
          <w:rStyle w:val="Refdenotaderodap"/>
          <w:rFonts w:eastAsiaTheme="majorEastAsia"/>
          <w:sz w:val="24"/>
        </w:rPr>
        <w:footnoteRef/>
      </w:r>
      <w:r w:rsidRPr="00DE2EDB">
        <w:rPr>
          <w:sz w:val="24"/>
          <w:lang w:val="pt-PT"/>
        </w:rPr>
        <w:t xml:space="preserve"> Cfr.,</w:t>
      </w:r>
      <w:r>
        <w:rPr>
          <w:sz w:val="24"/>
          <w:lang w:val="pt-PT"/>
        </w:rPr>
        <w:t xml:space="preserve"> </w:t>
      </w:r>
      <w:r w:rsidRPr="00DE2EDB">
        <w:rPr>
          <w:i/>
          <w:sz w:val="24"/>
          <w:lang w:val="pt-PT"/>
        </w:rPr>
        <w:t>Relatório</w:t>
      </w:r>
      <w:r>
        <w:rPr>
          <w:sz w:val="24"/>
          <w:lang w:val="pt-PT"/>
        </w:rPr>
        <w:t xml:space="preserve">, p. 26. </w:t>
      </w:r>
    </w:p>
  </w:footnote>
  <w:footnote w:id="12">
    <w:p w:rsidR="00382993" w:rsidRPr="00382993" w:rsidRDefault="00382993" w:rsidP="00382993">
      <w:pPr>
        <w:pStyle w:val="Textodenotaderodap"/>
        <w:spacing w:line="360" w:lineRule="auto"/>
        <w:ind w:firstLine="709"/>
        <w:jc w:val="both"/>
        <w:rPr>
          <w:sz w:val="24"/>
          <w:lang w:val="pt-PT"/>
        </w:rPr>
      </w:pPr>
      <w:r>
        <w:rPr>
          <w:rStyle w:val="Refdenotaderodap"/>
          <w:rFonts w:eastAsiaTheme="majorEastAsia"/>
          <w:sz w:val="24"/>
        </w:rPr>
        <w:footnoteRef/>
      </w:r>
      <w:r w:rsidRPr="00DE2EDB">
        <w:rPr>
          <w:sz w:val="24"/>
          <w:lang w:val="pt-PT"/>
        </w:rPr>
        <w:t xml:space="preserve"> Cfr.,</w:t>
      </w:r>
      <w:r>
        <w:rPr>
          <w:sz w:val="24"/>
          <w:lang w:val="pt-PT"/>
        </w:rPr>
        <w:t xml:space="preserve"> </w:t>
      </w:r>
      <w:r>
        <w:rPr>
          <w:i/>
          <w:sz w:val="24"/>
          <w:lang w:val="pt-PT"/>
        </w:rPr>
        <w:t>Ibidem</w:t>
      </w:r>
      <w:r w:rsidRPr="00382993">
        <w:rPr>
          <w:sz w:val="24"/>
          <w:lang w:val="pt-PT"/>
        </w:rPr>
        <w:t xml:space="preserve">, p. 29. </w:t>
      </w:r>
    </w:p>
  </w:footnote>
  <w:footnote w:id="13">
    <w:p w:rsidR="0042153E" w:rsidRPr="00382993" w:rsidRDefault="0042153E" w:rsidP="0042153E">
      <w:pPr>
        <w:pStyle w:val="Textodenotaderodap"/>
        <w:spacing w:line="360" w:lineRule="auto"/>
        <w:ind w:firstLine="709"/>
        <w:jc w:val="both"/>
        <w:rPr>
          <w:sz w:val="24"/>
          <w:lang w:val="pt-PT"/>
        </w:rPr>
      </w:pPr>
      <w:r>
        <w:rPr>
          <w:rStyle w:val="Refdenotaderodap"/>
          <w:rFonts w:eastAsiaTheme="majorEastAsia"/>
          <w:sz w:val="24"/>
        </w:rPr>
        <w:footnoteRef/>
      </w:r>
      <w:r w:rsidRPr="00DE2EDB">
        <w:rPr>
          <w:sz w:val="24"/>
          <w:lang w:val="pt-PT"/>
        </w:rPr>
        <w:t xml:space="preserve"> Cfr.,</w:t>
      </w:r>
      <w:r>
        <w:rPr>
          <w:sz w:val="24"/>
          <w:lang w:val="pt-PT"/>
        </w:rPr>
        <w:t xml:space="preserve"> </w:t>
      </w:r>
      <w:r>
        <w:rPr>
          <w:i/>
          <w:sz w:val="24"/>
          <w:lang w:val="pt-PT"/>
        </w:rPr>
        <w:t>Ibidem</w:t>
      </w:r>
      <w:r>
        <w:rPr>
          <w:sz w:val="24"/>
          <w:lang w:val="pt-PT"/>
        </w:rPr>
        <w:t>, p. 35</w:t>
      </w:r>
      <w:r w:rsidRPr="00382993">
        <w:rPr>
          <w:sz w:val="24"/>
          <w:lang w:val="pt-PT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FF"/>
    <w:rsid w:val="00065D9F"/>
    <w:rsid w:val="00081B46"/>
    <w:rsid w:val="0009695B"/>
    <w:rsid w:val="00096FB7"/>
    <w:rsid w:val="000A6545"/>
    <w:rsid w:val="000A77FC"/>
    <w:rsid w:val="000B10FF"/>
    <w:rsid w:val="000F3163"/>
    <w:rsid w:val="000F3882"/>
    <w:rsid w:val="00112175"/>
    <w:rsid w:val="0011388C"/>
    <w:rsid w:val="00136F39"/>
    <w:rsid w:val="0017292B"/>
    <w:rsid w:val="001A2EC0"/>
    <w:rsid w:val="001B319F"/>
    <w:rsid w:val="001C4B33"/>
    <w:rsid w:val="001E2542"/>
    <w:rsid w:val="001E6300"/>
    <w:rsid w:val="00235D2A"/>
    <w:rsid w:val="00241AA8"/>
    <w:rsid w:val="0024315D"/>
    <w:rsid w:val="002448B6"/>
    <w:rsid w:val="00247FC0"/>
    <w:rsid w:val="00262F31"/>
    <w:rsid w:val="002942A0"/>
    <w:rsid w:val="00296E64"/>
    <w:rsid w:val="002B7D0A"/>
    <w:rsid w:val="002C615B"/>
    <w:rsid w:val="00306790"/>
    <w:rsid w:val="00307551"/>
    <w:rsid w:val="003171F2"/>
    <w:rsid w:val="00376BF3"/>
    <w:rsid w:val="00382993"/>
    <w:rsid w:val="003E5E66"/>
    <w:rsid w:val="004035B2"/>
    <w:rsid w:val="0042153E"/>
    <w:rsid w:val="00422F45"/>
    <w:rsid w:val="00432D90"/>
    <w:rsid w:val="00434B7C"/>
    <w:rsid w:val="0046374B"/>
    <w:rsid w:val="00474640"/>
    <w:rsid w:val="004C1F26"/>
    <w:rsid w:val="004C7D0C"/>
    <w:rsid w:val="004F0C8C"/>
    <w:rsid w:val="005050BB"/>
    <w:rsid w:val="00507311"/>
    <w:rsid w:val="0052793A"/>
    <w:rsid w:val="005477B1"/>
    <w:rsid w:val="00560B43"/>
    <w:rsid w:val="00574A3B"/>
    <w:rsid w:val="00583E2B"/>
    <w:rsid w:val="00590603"/>
    <w:rsid w:val="005E7B97"/>
    <w:rsid w:val="0062228D"/>
    <w:rsid w:val="006420C9"/>
    <w:rsid w:val="00682503"/>
    <w:rsid w:val="006917DE"/>
    <w:rsid w:val="006961D3"/>
    <w:rsid w:val="006C1A1E"/>
    <w:rsid w:val="006C1B34"/>
    <w:rsid w:val="006F21A5"/>
    <w:rsid w:val="00723A65"/>
    <w:rsid w:val="0072457B"/>
    <w:rsid w:val="00751F62"/>
    <w:rsid w:val="0075469F"/>
    <w:rsid w:val="00755012"/>
    <w:rsid w:val="007B3C1D"/>
    <w:rsid w:val="00802D09"/>
    <w:rsid w:val="00802FAC"/>
    <w:rsid w:val="00840C19"/>
    <w:rsid w:val="00847BCB"/>
    <w:rsid w:val="0087128C"/>
    <w:rsid w:val="008A0D05"/>
    <w:rsid w:val="0090472C"/>
    <w:rsid w:val="00905773"/>
    <w:rsid w:val="00924B30"/>
    <w:rsid w:val="00924B75"/>
    <w:rsid w:val="00927174"/>
    <w:rsid w:val="00935FC6"/>
    <w:rsid w:val="0093659C"/>
    <w:rsid w:val="00942272"/>
    <w:rsid w:val="00987405"/>
    <w:rsid w:val="009B6C0A"/>
    <w:rsid w:val="00A13CB4"/>
    <w:rsid w:val="00A5095B"/>
    <w:rsid w:val="00AB7295"/>
    <w:rsid w:val="00B17D42"/>
    <w:rsid w:val="00B32531"/>
    <w:rsid w:val="00B45363"/>
    <w:rsid w:val="00B53B77"/>
    <w:rsid w:val="00B57282"/>
    <w:rsid w:val="00B87739"/>
    <w:rsid w:val="00BA3A03"/>
    <w:rsid w:val="00BB5B70"/>
    <w:rsid w:val="00BD2E1D"/>
    <w:rsid w:val="00BE69D0"/>
    <w:rsid w:val="00BF5ED7"/>
    <w:rsid w:val="00C05083"/>
    <w:rsid w:val="00C13BBA"/>
    <w:rsid w:val="00C3021C"/>
    <w:rsid w:val="00C31817"/>
    <w:rsid w:val="00C970AC"/>
    <w:rsid w:val="00CE40EE"/>
    <w:rsid w:val="00D75EA6"/>
    <w:rsid w:val="00DA65F7"/>
    <w:rsid w:val="00DC015B"/>
    <w:rsid w:val="00DE2EDB"/>
    <w:rsid w:val="00E9182A"/>
    <w:rsid w:val="00E939B5"/>
    <w:rsid w:val="00ED1273"/>
    <w:rsid w:val="00EE757C"/>
    <w:rsid w:val="00EF243B"/>
    <w:rsid w:val="00EF5298"/>
    <w:rsid w:val="00F033D4"/>
    <w:rsid w:val="00F061B2"/>
    <w:rsid w:val="00F21060"/>
    <w:rsid w:val="00F40813"/>
    <w:rsid w:val="00F962A7"/>
    <w:rsid w:val="00FD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69194-89D4-4739-A4D8-AABDA565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0FF"/>
    <w:rPr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C970A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C970A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C970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F2106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F2106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F2106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C970AC"/>
    <w:rPr>
      <w:rFonts w:asciiTheme="majorHAnsi" w:eastAsiaTheme="majorEastAsia" w:hAnsiTheme="majorHAnsi" w:cstheme="majorBidi"/>
      <w:b/>
      <w:bCs/>
      <w:kern w:val="32"/>
      <w:sz w:val="32"/>
      <w:szCs w:val="32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C970AC"/>
    <w:rPr>
      <w:rFonts w:asciiTheme="majorHAnsi" w:eastAsiaTheme="majorEastAsia" w:hAnsiTheme="majorHAnsi" w:cstheme="majorBidi"/>
      <w:b/>
      <w:bCs/>
      <w:i/>
      <w:iCs/>
      <w:sz w:val="28"/>
      <w:szCs w:val="28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C970AC"/>
    <w:rPr>
      <w:rFonts w:asciiTheme="majorHAnsi" w:eastAsiaTheme="majorEastAsia" w:hAnsiTheme="majorHAnsi" w:cstheme="majorBidi"/>
      <w:b/>
      <w:bCs/>
      <w:sz w:val="26"/>
      <w:szCs w:val="26"/>
      <w:lang w:eastAsia="pt-PT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C970AC"/>
    <w:rPr>
      <w:rFonts w:asciiTheme="minorHAnsi" w:eastAsiaTheme="minorEastAsia" w:hAnsiTheme="minorHAnsi" w:cstheme="minorBidi"/>
      <w:b/>
      <w:bCs/>
      <w:sz w:val="28"/>
      <w:szCs w:val="28"/>
      <w:lang w:eastAsia="pt-PT"/>
    </w:rPr>
  </w:style>
  <w:style w:type="paragraph" w:styleId="SemEspaamento">
    <w:name w:val="No Spacing"/>
    <w:uiPriority w:val="1"/>
    <w:qFormat/>
    <w:rsid w:val="005050BB"/>
    <w:rPr>
      <w:lang w:eastAsia="pt-PT"/>
    </w:rPr>
  </w:style>
  <w:style w:type="paragraph" w:styleId="PargrafodaLista">
    <w:name w:val="List Paragraph"/>
    <w:basedOn w:val="Normal"/>
    <w:uiPriority w:val="34"/>
    <w:qFormat/>
    <w:rsid w:val="00C970AC"/>
    <w:pPr>
      <w:ind w:left="708"/>
    </w:pPr>
    <w:rPr>
      <w:sz w:val="20"/>
      <w:szCs w:val="20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F21060"/>
    <w:rPr>
      <w:rFonts w:asciiTheme="minorHAnsi" w:eastAsiaTheme="minorEastAsia" w:hAnsiTheme="minorHAnsi" w:cstheme="minorBidi"/>
      <w:b/>
      <w:bCs/>
      <w:sz w:val="22"/>
      <w:szCs w:val="22"/>
      <w:lang w:eastAsia="pt-PT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F21060"/>
    <w:rPr>
      <w:rFonts w:asciiTheme="minorHAnsi" w:eastAsiaTheme="minorEastAsia" w:hAnsiTheme="minorHAnsi" w:cstheme="minorBidi"/>
      <w:sz w:val="24"/>
      <w:szCs w:val="24"/>
      <w:lang w:eastAsia="pt-PT"/>
    </w:rPr>
  </w:style>
  <w:style w:type="paragraph" w:styleId="Avanodecorpodetexto">
    <w:name w:val="Body Text Indent"/>
    <w:basedOn w:val="Normal"/>
    <w:link w:val="AvanodecorpodetextoCarter"/>
    <w:rsid w:val="000B10FF"/>
    <w:pPr>
      <w:spacing w:line="360" w:lineRule="atLeast"/>
      <w:ind w:firstLine="567"/>
      <w:jc w:val="both"/>
    </w:pPr>
    <w:rPr>
      <w:sz w:val="28"/>
      <w:szCs w:val="20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0B10FF"/>
    <w:rPr>
      <w:sz w:val="28"/>
      <w:lang w:eastAsia="pt-PT"/>
    </w:rPr>
  </w:style>
  <w:style w:type="paragraph" w:styleId="Rodap">
    <w:name w:val="footer"/>
    <w:basedOn w:val="Normal"/>
    <w:link w:val="RodapCarter"/>
    <w:rsid w:val="000B10F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0B10FF"/>
    <w:rPr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0B10FF"/>
  </w:style>
  <w:style w:type="character" w:styleId="Refdenotaderodap">
    <w:name w:val="footnote reference"/>
    <w:basedOn w:val="Tipodeletrapredefinidodopargrafo"/>
    <w:semiHidden/>
    <w:rsid w:val="000B10FF"/>
    <w:rPr>
      <w:vertAlign w:val="superscript"/>
    </w:rPr>
  </w:style>
  <w:style w:type="paragraph" w:styleId="Textodenotaderodap">
    <w:name w:val="footnote text"/>
    <w:basedOn w:val="Normal"/>
    <w:link w:val="TextodenotaderodapCarter"/>
    <w:semiHidden/>
    <w:rsid w:val="000B10FF"/>
    <w:rPr>
      <w:sz w:val="20"/>
      <w:szCs w:val="20"/>
      <w:lang w:val="en-GB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0B10FF"/>
    <w:rPr>
      <w:lang w:val="en-GB"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3659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3659C"/>
    <w:rPr>
      <w:rFonts w:ascii="Tahoma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CA0BB-5341-4CC8-98F8-831F5042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2926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Queiroz</dc:creator>
  <cp:lastModifiedBy>Dra. Maria José Parreira</cp:lastModifiedBy>
  <cp:revision>2</cp:revision>
  <cp:lastPrinted>2013-01-22T17:11:00Z</cp:lastPrinted>
  <dcterms:created xsi:type="dcterms:W3CDTF">2016-06-06T08:47:00Z</dcterms:created>
  <dcterms:modified xsi:type="dcterms:W3CDTF">2016-06-06T08:47:00Z</dcterms:modified>
</cp:coreProperties>
</file>