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F6" w:rsidRPr="00B90610" w:rsidRDefault="004C4EF6" w:rsidP="004C4EF6">
      <w:pPr>
        <w:spacing w:line="360" w:lineRule="auto"/>
        <w:ind w:firstLine="1276"/>
        <w:jc w:val="both"/>
        <w:rPr>
          <w:b/>
          <w:sz w:val="36"/>
          <w:szCs w:val="36"/>
        </w:rPr>
      </w:pPr>
      <w:bookmarkStart w:id="0" w:name="_GoBack"/>
      <w:bookmarkEnd w:id="0"/>
    </w:p>
    <w:p w:rsidR="004C4EF6" w:rsidRDefault="004C4EF6" w:rsidP="004C4EF6">
      <w:pPr>
        <w:spacing w:line="360" w:lineRule="auto"/>
        <w:ind w:firstLine="1276"/>
        <w:jc w:val="both"/>
        <w:rPr>
          <w:b/>
          <w:sz w:val="36"/>
          <w:szCs w:val="36"/>
        </w:rPr>
      </w:pPr>
    </w:p>
    <w:p w:rsidR="00B90610" w:rsidRPr="00B90610" w:rsidRDefault="00B90610" w:rsidP="004C4EF6">
      <w:pPr>
        <w:spacing w:line="360" w:lineRule="auto"/>
        <w:ind w:firstLine="1276"/>
        <w:jc w:val="both"/>
        <w:rPr>
          <w:b/>
          <w:sz w:val="36"/>
          <w:szCs w:val="36"/>
        </w:rPr>
      </w:pPr>
    </w:p>
    <w:p w:rsidR="004C4EF6" w:rsidRPr="00B90610" w:rsidRDefault="004C4EF6" w:rsidP="004C4EF6">
      <w:pPr>
        <w:spacing w:line="360" w:lineRule="auto"/>
        <w:ind w:firstLine="1276"/>
        <w:jc w:val="both"/>
        <w:rPr>
          <w:b/>
          <w:sz w:val="36"/>
          <w:szCs w:val="36"/>
        </w:rPr>
      </w:pPr>
    </w:p>
    <w:p w:rsidR="004C4EF6" w:rsidRPr="00B90610" w:rsidRDefault="004C4EF6" w:rsidP="00B90610">
      <w:pPr>
        <w:spacing w:line="360" w:lineRule="auto"/>
        <w:ind w:firstLine="567"/>
        <w:jc w:val="both"/>
        <w:rPr>
          <w:b/>
          <w:sz w:val="36"/>
          <w:szCs w:val="36"/>
        </w:rPr>
      </w:pPr>
      <w:r w:rsidRPr="00B90610">
        <w:rPr>
          <w:b/>
          <w:sz w:val="36"/>
          <w:szCs w:val="36"/>
        </w:rPr>
        <w:t>HUGO DANIEL DA CUNHA LANÇA SILVA</w:t>
      </w:r>
    </w:p>
    <w:p w:rsidR="004C4EF6" w:rsidRPr="00B90610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B90610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B90610">
        <w:rPr>
          <w:sz w:val="36"/>
          <w:szCs w:val="36"/>
        </w:rPr>
        <w:t>Apreciação da dissertação de Doutoramento do Mestre Hugo Daniel da Cunha Lança Silva, intitulada “A regu</w:t>
      </w:r>
      <w:r w:rsidR="00B90610">
        <w:rPr>
          <w:sz w:val="36"/>
          <w:szCs w:val="36"/>
        </w:rPr>
        <w:t>-</w:t>
      </w:r>
      <w:r w:rsidRPr="00B90610">
        <w:rPr>
          <w:sz w:val="36"/>
          <w:szCs w:val="36"/>
        </w:rPr>
        <w:t>lação dos conteúdos disponíveis na Internet. A impera</w:t>
      </w:r>
      <w:r w:rsidR="00B90610">
        <w:rPr>
          <w:sz w:val="36"/>
          <w:szCs w:val="36"/>
        </w:rPr>
        <w:t>-</w:t>
      </w:r>
      <w:r w:rsidRPr="00B90610">
        <w:rPr>
          <w:sz w:val="36"/>
          <w:szCs w:val="36"/>
        </w:rPr>
        <w:t>tividade de proteger as crianças”.</w:t>
      </w:r>
    </w:p>
    <w:p w:rsidR="004C4EF6" w:rsidRPr="00B90610" w:rsidRDefault="004C4EF6" w:rsidP="004C4EF6">
      <w:pPr>
        <w:spacing w:line="360" w:lineRule="auto"/>
        <w:ind w:firstLine="3686"/>
        <w:jc w:val="both"/>
        <w:rPr>
          <w:sz w:val="36"/>
          <w:szCs w:val="36"/>
        </w:rPr>
      </w:pPr>
    </w:p>
    <w:p w:rsidR="004C4EF6" w:rsidRPr="00B90610" w:rsidRDefault="004C4EF6" w:rsidP="004C4EF6">
      <w:pPr>
        <w:spacing w:line="360" w:lineRule="auto"/>
        <w:ind w:firstLine="3686"/>
        <w:jc w:val="both"/>
        <w:rPr>
          <w:sz w:val="36"/>
          <w:szCs w:val="36"/>
        </w:rPr>
      </w:pPr>
    </w:p>
    <w:p w:rsidR="004C4EF6" w:rsidRPr="00B90610" w:rsidRDefault="004C4EF6" w:rsidP="004C4EF6">
      <w:pPr>
        <w:spacing w:line="360" w:lineRule="auto"/>
        <w:ind w:firstLine="3686"/>
        <w:jc w:val="both"/>
        <w:rPr>
          <w:sz w:val="36"/>
          <w:szCs w:val="36"/>
        </w:rPr>
      </w:pPr>
      <w:r w:rsidRPr="00B90610">
        <w:rPr>
          <w:sz w:val="36"/>
          <w:szCs w:val="36"/>
        </w:rPr>
        <w:t>Cristina M. M. Queiroz</w:t>
      </w:r>
    </w:p>
    <w:p w:rsidR="004C4EF6" w:rsidRDefault="004C4EF6" w:rsidP="004C4EF6">
      <w:pPr>
        <w:tabs>
          <w:tab w:val="left" w:pos="1800"/>
        </w:tabs>
        <w:spacing w:line="360" w:lineRule="auto"/>
        <w:ind w:firstLine="1440"/>
        <w:jc w:val="both"/>
        <w:rPr>
          <w:sz w:val="36"/>
          <w:szCs w:val="36"/>
        </w:rPr>
      </w:pPr>
    </w:p>
    <w:p w:rsidR="00B90610" w:rsidRDefault="00B90610" w:rsidP="004C4EF6">
      <w:pPr>
        <w:tabs>
          <w:tab w:val="left" w:pos="1800"/>
        </w:tabs>
        <w:spacing w:line="360" w:lineRule="auto"/>
        <w:ind w:firstLine="1440"/>
        <w:jc w:val="both"/>
        <w:rPr>
          <w:sz w:val="36"/>
          <w:szCs w:val="36"/>
        </w:rPr>
      </w:pPr>
    </w:p>
    <w:p w:rsidR="00B90610" w:rsidRPr="00B90610" w:rsidRDefault="00B90610" w:rsidP="004C4EF6">
      <w:pPr>
        <w:tabs>
          <w:tab w:val="left" w:pos="1800"/>
        </w:tabs>
        <w:spacing w:line="360" w:lineRule="auto"/>
        <w:ind w:firstLine="1440"/>
        <w:jc w:val="both"/>
        <w:rPr>
          <w:sz w:val="36"/>
          <w:szCs w:val="36"/>
        </w:rPr>
      </w:pPr>
    </w:p>
    <w:p w:rsidR="004C4EF6" w:rsidRPr="00B90610" w:rsidRDefault="004C4EF6" w:rsidP="004C4EF6">
      <w:pPr>
        <w:tabs>
          <w:tab w:val="left" w:pos="1800"/>
        </w:tabs>
        <w:spacing w:line="360" w:lineRule="auto"/>
        <w:ind w:firstLine="1440"/>
        <w:jc w:val="both"/>
        <w:rPr>
          <w:sz w:val="36"/>
          <w:szCs w:val="36"/>
        </w:rPr>
      </w:pPr>
    </w:p>
    <w:p w:rsidR="004C4EF6" w:rsidRPr="00B90610" w:rsidRDefault="004C4EF6" w:rsidP="00B90610">
      <w:pPr>
        <w:tabs>
          <w:tab w:val="left" w:pos="1800"/>
        </w:tabs>
        <w:spacing w:line="360" w:lineRule="auto"/>
        <w:ind w:firstLine="2410"/>
        <w:jc w:val="both"/>
        <w:rPr>
          <w:b/>
          <w:sz w:val="36"/>
          <w:szCs w:val="36"/>
        </w:rPr>
      </w:pPr>
      <w:r w:rsidRPr="00B90610">
        <w:rPr>
          <w:b/>
          <w:sz w:val="36"/>
          <w:szCs w:val="36"/>
        </w:rPr>
        <w:t>Faculdade de Direito</w:t>
      </w:r>
    </w:p>
    <w:p w:rsidR="004C4EF6" w:rsidRPr="00B90610" w:rsidRDefault="004C4EF6" w:rsidP="004C4EF6">
      <w:pPr>
        <w:tabs>
          <w:tab w:val="left" w:pos="1800"/>
        </w:tabs>
        <w:spacing w:line="360" w:lineRule="auto"/>
        <w:ind w:firstLine="2552"/>
        <w:jc w:val="both"/>
        <w:rPr>
          <w:b/>
          <w:sz w:val="36"/>
          <w:szCs w:val="36"/>
        </w:rPr>
      </w:pPr>
    </w:p>
    <w:p w:rsidR="004C4EF6" w:rsidRPr="00B90610" w:rsidRDefault="004C4EF6" w:rsidP="00B90610">
      <w:pPr>
        <w:tabs>
          <w:tab w:val="left" w:pos="1800"/>
        </w:tabs>
        <w:spacing w:line="360" w:lineRule="auto"/>
        <w:ind w:firstLine="2127"/>
        <w:jc w:val="both"/>
        <w:rPr>
          <w:b/>
          <w:sz w:val="36"/>
          <w:szCs w:val="36"/>
        </w:rPr>
      </w:pPr>
      <w:r w:rsidRPr="00B90610">
        <w:rPr>
          <w:b/>
          <w:sz w:val="36"/>
          <w:szCs w:val="36"/>
        </w:rPr>
        <w:t>Universidade do Porto</w:t>
      </w:r>
    </w:p>
    <w:p w:rsidR="00B90610" w:rsidRDefault="00B90610" w:rsidP="004C4EF6">
      <w:pPr>
        <w:tabs>
          <w:tab w:val="left" w:pos="3600"/>
        </w:tabs>
        <w:spacing w:line="360" w:lineRule="auto"/>
        <w:ind w:firstLine="3402"/>
        <w:jc w:val="both"/>
        <w:rPr>
          <w:b/>
          <w:sz w:val="36"/>
          <w:szCs w:val="36"/>
        </w:rPr>
      </w:pPr>
    </w:p>
    <w:p w:rsidR="004C4EF6" w:rsidRPr="00B90610" w:rsidRDefault="004C4EF6" w:rsidP="004C4EF6">
      <w:pPr>
        <w:tabs>
          <w:tab w:val="left" w:pos="3600"/>
        </w:tabs>
        <w:spacing w:line="360" w:lineRule="auto"/>
        <w:ind w:firstLine="3402"/>
        <w:jc w:val="both"/>
        <w:rPr>
          <w:b/>
          <w:sz w:val="36"/>
          <w:szCs w:val="36"/>
        </w:rPr>
      </w:pPr>
      <w:r w:rsidRPr="00B90610">
        <w:rPr>
          <w:b/>
          <w:sz w:val="36"/>
          <w:szCs w:val="36"/>
        </w:rPr>
        <w:t>2015</w:t>
      </w:r>
    </w:p>
    <w:p w:rsidR="004C4EF6" w:rsidRDefault="004C4EF6" w:rsidP="004C4EF6">
      <w:pPr>
        <w:spacing w:line="360" w:lineRule="auto"/>
        <w:ind w:firstLine="2835"/>
        <w:jc w:val="both"/>
        <w:rPr>
          <w:sz w:val="36"/>
          <w:szCs w:val="36"/>
        </w:rPr>
      </w:pPr>
    </w:p>
    <w:p w:rsidR="00B90610" w:rsidRPr="004C4EF6" w:rsidRDefault="00B90610" w:rsidP="004C4EF6">
      <w:pPr>
        <w:spacing w:line="360" w:lineRule="auto"/>
        <w:ind w:firstLine="2835"/>
        <w:jc w:val="both"/>
        <w:rPr>
          <w:b/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2835"/>
        <w:jc w:val="both"/>
        <w:rPr>
          <w:b/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2835"/>
        <w:jc w:val="both"/>
        <w:rPr>
          <w:b/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2835"/>
        <w:jc w:val="both"/>
        <w:rPr>
          <w:b/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2835"/>
        <w:jc w:val="both"/>
        <w:rPr>
          <w:b/>
          <w:sz w:val="36"/>
          <w:szCs w:val="36"/>
        </w:rPr>
      </w:pPr>
      <w:r w:rsidRPr="004C4EF6">
        <w:rPr>
          <w:b/>
          <w:sz w:val="36"/>
          <w:szCs w:val="36"/>
        </w:rPr>
        <w:t>SUMÁRIO</w:t>
      </w:r>
    </w:p>
    <w:p w:rsidR="004C4EF6" w:rsidRPr="004C4EF6" w:rsidRDefault="004C4EF6" w:rsidP="004C4EF6">
      <w:pPr>
        <w:spacing w:line="360" w:lineRule="auto"/>
        <w:ind w:firstLine="709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709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I. Currículo Académico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II. Dissertação</w:t>
      </w:r>
    </w:p>
    <w:p w:rsidR="004C4EF6" w:rsidRPr="004C4EF6" w:rsidRDefault="004C4EF6" w:rsidP="004C4EF6">
      <w:pPr>
        <w:spacing w:line="360" w:lineRule="auto"/>
        <w:ind w:firstLine="993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A) Metodologia e estrutura</w:t>
      </w:r>
    </w:p>
    <w:p w:rsidR="004C4EF6" w:rsidRPr="004C4EF6" w:rsidRDefault="004C4EF6" w:rsidP="004C4EF6">
      <w:pPr>
        <w:spacing w:line="360" w:lineRule="auto"/>
        <w:ind w:firstLine="993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B) A Sociedade da Comunicação e Informação</w:t>
      </w:r>
    </w:p>
    <w:p w:rsidR="004C4EF6" w:rsidRPr="004C4EF6" w:rsidRDefault="004C4EF6" w:rsidP="004C4EF6">
      <w:pPr>
        <w:spacing w:line="360" w:lineRule="auto"/>
        <w:ind w:firstLine="993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C) A questão da regulação</w:t>
      </w:r>
    </w:p>
    <w:p w:rsidR="004C4EF6" w:rsidRPr="004C4EF6" w:rsidRDefault="004C4EF6" w:rsidP="004C4EF6">
      <w:pPr>
        <w:spacing w:line="360" w:lineRule="auto"/>
        <w:ind w:firstLine="993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D) O princípio da neutralidade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III. O discurso e o estilo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IV. Apreciação final</w:t>
      </w:r>
    </w:p>
    <w:p w:rsidR="004C4EF6" w:rsidRPr="004C4EF6" w:rsidRDefault="004C4EF6" w:rsidP="004C4EF6">
      <w:pPr>
        <w:spacing w:line="360" w:lineRule="auto"/>
        <w:ind w:firstLine="993"/>
        <w:jc w:val="both"/>
        <w:rPr>
          <w:sz w:val="36"/>
          <w:szCs w:val="36"/>
        </w:rPr>
      </w:pPr>
    </w:p>
    <w:p w:rsidR="004C4EF6" w:rsidRPr="004C4EF6" w:rsidRDefault="004C4EF6" w:rsidP="004C4EF6">
      <w:pPr>
        <w:rPr>
          <w:sz w:val="36"/>
          <w:szCs w:val="36"/>
        </w:rPr>
      </w:pPr>
      <w:r w:rsidRPr="004C4EF6">
        <w:rPr>
          <w:sz w:val="36"/>
          <w:szCs w:val="36"/>
        </w:rPr>
        <w:br w:type="page"/>
      </w:r>
    </w:p>
    <w:p w:rsidR="004C4EF6" w:rsidRDefault="004C4EF6" w:rsidP="004C4EF6">
      <w:pPr>
        <w:spacing w:line="360" w:lineRule="auto"/>
        <w:ind w:firstLine="567"/>
        <w:jc w:val="both"/>
        <w:rPr>
          <w:b/>
          <w:sz w:val="36"/>
          <w:szCs w:val="36"/>
        </w:rPr>
      </w:pPr>
    </w:p>
    <w:p w:rsidR="00CB3EE1" w:rsidRPr="004C4EF6" w:rsidRDefault="00CB3EE1" w:rsidP="004C4EF6">
      <w:pPr>
        <w:spacing w:line="360" w:lineRule="auto"/>
        <w:ind w:firstLine="567"/>
        <w:jc w:val="both"/>
        <w:rPr>
          <w:b/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b/>
          <w:sz w:val="36"/>
          <w:szCs w:val="36"/>
        </w:rPr>
      </w:pPr>
      <w:r w:rsidRPr="004C4EF6">
        <w:rPr>
          <w:b/>
          <w:sz w:val="36"/>
          <w:szCs w:val="36"/>
        </w:rPr>
        <w:t>I. Currículo Académico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b/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O Mestre Hugo Daniel da Cunha Lança Silva é do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cente do Instituto Politécnico de Beja, onde tem regido as disciplinas de Direito da Família e Direito Comercial.</w:t>
      </w:r>
    </w:p>
    <w:p w:rsidR="004C4EF6" w:rsidRPr="004C4EF6" w:rsidRDefault="004C4EF6" w:rsidP="00353722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 xml:space="preserve">Das comunicações e principais publicações, constantes do </w:t>
      </w:r>
      <w:r w:rsidRPr="004C4EF6">
        <w:rPr>
          <w:i/>
          <w:sz w:val="36"/>
          <w:szCs w:val="36"/>
        </w:rPr>
        <w:t>curriculum vitae</w:t>
      </w:r>
      <w:r w:rsidRPr="004C4EF6">
        <w:rPr>
          <w:sz w:val="36"/>
          <w:szCs w:val="36"/>
        </w:rPr>
        <w:t xml:space="preserve"> apresentado, denota-se a preocupação de investigação de </w:t>
      </w:r>
      <w:r w:rsidR="00353722">
        <w:rPr>
          <w:sz w:val="36"/>
          <w:szCs w:val="36"/>
        </w:rPr>
        <w:t>temas rela</w:t>
      </w:r>
      <w:r w:rsidRPr="004C4EF6">
        <w:rPr>
          <w:sz w:val="36"/>
          <w:szCs w:val="36"/>
        </w:rPr>
        <w:t>cionados com o Direito das Crianças, Direito da Família, Violência Doméstica, Co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mércio Electrónico e o chamado Direito da Sociedade da Comunicação e Informação. </w:t>
      </w:r>
    </w:p>
    <w:p w:rsidR="00B90610" w:rsidRDefault="004C4EF6" w:rsidP="00CB3EE1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Temas, que se correlacionados, integram a presente dissertação de Doutoramento.</w:t>
      </w:r>
    </w:p>
    <w:p w:rsidR="00CB3EE1" w:rsidRDefault="00CB3EE1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CB3EE1" w:rsidRPr="004C4EF6" w:rsidRDefault="00CB3EE1" w:rsidP="00CB3EE1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b/>
          <w:sz w:val="36"/>
          <w:szCs w:val="36"/>
        </w:rPr>
        <w:t>II.</w:t>
      </w:r>
      <w:r w:rsidRPr="004C4EF6">
        <w:rPr>
          <w:sz w:val="36"/>
          <w:szCs w:val="36"/>
        </w:rPr>
        <w:t xml:space="preserve"> </w:t>
      </w:r>
      <w:r w:rsidRPr="004C4EF6">
        <w:rPr>
          <w:b/>
          <w:sz w:val="36"/>
          <w:szCs w:val="36"/>
        </w:rPr>
        <w:t>Dissertação</w:t>
      </w:r>
    </w:p>
    <w:p w:rsid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F63C7F" w:rsidRDefault="00F63C7F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i/>
          <w:sz w:val="36"/>
          <w:szCs w:val="36"/>
        </w:rPr>
      </w:pPr>
      <w:r w:rsidRPr="004C4EF6">
        <w:rPr>
          <w:i/>
          <w:sz w:val="36"/>
          <w:szCs w:val="36"/>
        </w:rPr>
        <w:t xml:space="preserve">A) Metodologia e estrutura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O conteúdo científico e programático desta dissertação centra-se na necessidade de procurar um “novo” paradi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gma no que concerne à contextualização do Direito das Crianças face ao mundo da Sociedade da Comunicação e Informação e os riscos que esta potencialmente acarreta no desenvolvimento da infância.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Um tema que é transversal. E que conleva, por isso mesmo, o apelo a uma metodologia interdisciplinar.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 xml:space="preserve">A tese estrutura-se em quatro partes. Na primeira parte procede-se ao enquadramento histórico e sociológico do aparecimento da Internet e da Sociedade da Comunicação e Informação, com o correspondente impacto nas relações sociais e políticas, a necessitar de uma normativização, ponderada e consensual. 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lastRenderedPageBreak/>
        <w:t>Na segunda parte da dissertação o candidato analisa a questão da “protecção da criança”, propondo um novo mo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delo de interpretação da menoridade, numa estrita relação de equilíbrio entre dois princípios considerados fundamen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tais, a saber: o princípio da autonomia e capacidade de au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to-determinação do menor e o princípio da responsabi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lidade parental.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Na terceira parte da estrutura proposta regressa-se ao mundo da Internet e da Sociedade da Comunicação e In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formação para se questionar, primeiro, o problema da re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gulação ou da não regulação, concluindo pela co-regu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lação, pública e privada, tendo como pano de fundo o plu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ralismo de expressão e formas de vida.</w:t>
      </w:r>
    </w:p>
    <w:p w:rsidR="004C4EF6" w:rsidRDefault="004C4EF6" w:rsidP="00CB3EE1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A quarta e última parte desta dissertação centra-se na tomada de posição e opções do candidato quanto à tríade pragmática, objecto da sua investigação: a responsabili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dade dos pais, a responsabilidade dos prestadores de ser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viços na Internet, a responsabilidade dos fornecedores de conteúdos, e, por último, a responsabilidade do Estado.</w:t>
      </w:r>
    </w:p>
    <w:p w:rsidR="00F63C7F" w:rsidRDefault="00F63C7F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90610" w:rsidRDefault="00B90610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F63C7F" w:rsidRPr="004C4EF6" w:rsidRDefault="00F63C7F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i/>
          <w:sz w:val="36"/>
          <w:szCs w:val="36"/>
        </w:rPr>
      </w:pPr>
      <w:r w:rsidRPr="004C4EF6">
        <w:rPr>
          <w:i/>
          <w:sz w:val="36"/>
          <w:szCs w:val="36"/>
        </w:rPr>
        <w:t>B) A Sociedade da Comunicação e Informação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1. A emergência da Internet e o seu enorme potencial, conjuntamente com outras formas de comunicação, decor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rente</w:t>
      </w:r>
      <w:r w:rsidR="00CB3EE1">
        <w:rPr>
          <w:sz w:val="36"/>
          <w:szCs w:val="36"/>
        </w:rPr>
        <w:t>s</w:t>
      </w:r>
      <w:r w:rsidRPr="004C4EF6">
        <w:rPr>
          <w:sz w:val="36"/>
          <w:szCs w:val="36"/>
        </w:rPr>
        <w:t xml:space="preserve"> da nova revolução tecnológica e comunicacional, deve promover a liberdade e o bem-estar social. Uma </w:t>
      </w:r>
      <w:r w:rsidR="00353722">
        <w:rPr>
          <w:sz w:val="36"/>
          <w:szCs w:val="36"/>
        </w:rPr>
        <w:t>con</w:t>
      </w:r>
      <w:r w:rsidRPr="004C4EF6">
        <w:rPr>
          <w:sz w:val="36"/>
          <w:szCs w:val="36"/>
        </w:rPr>
        <w:t>cepção de liberdade que impregna o Direito das Fa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mílias (no plural) e também das crianças. E, ainda, o pró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prio conceito de sociabilidade. No limite, o próprio </w:t>
      </w:r>
      <w:r w:rsidR="00353722">
        <w:rPr>
          <w:sz w:val="36"/>
          <w:szCs w:val="36"/>
        </w:rPr>
        <w:t>con-</w:t>
      </w:r>
      <w:r w:rsidRPr="004C4EF6">
        <w:rPr>
          <w:sz w:val="36"/>
          <w:szCs w:val="36"/>
        </w:rPr>
        <w:t xml:space="preserve">ceito de “democracia”.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A emergência deste “universo comunica</w:t>
      </w:r>
      <w:r w:rsidR="00353722">
        <w:rPr>
          <w:sz w:val="36"/>
          <w:szCs w:val="36"/>
        </w:rPr>
        <w:t>tivo” coloca “novos” proble</w:t>
      </w:r>
      <w:r w:rsidRPr="004C4EF6">
        <w:rPr>
          <w:sz w:val="36"/>
          <w:szCs w:val="36"/>
        </w:rPr>
        <w:t>mas e “novos” desafios que importa, pri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meiro, enumerar, depois, dissecar e analisar, e, por último, contribuir para uma solução razoável e equilibrada dos mesmos.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 xml:space="preserve">Enumero algumas dessas questões, tal como por mim foram lidas e interpretadas: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lastRenderedPageBreak/>
        <w:t>(a) Antes de mais, a garantia dos direitos de autono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mia, privacidade e personalidade (: os chamados “novos” direitos, na terminologia norte-americana).</w:t>
      </w:r>
    </w:p>
    <w:p w:rsidR="00CB3EE1" w:rsidRDefault="00CB3EE1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CB3EE1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(b) Mas também as desigualdades de acesso às novas tecnologias de comunicação e informação, o chamado “di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gital divide”, que não apenas “inclui” como também “ex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clui”.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Dito de outro modo, a questão da divisão entre os que acedem e os que ficam excluídos das novas auto-estradas da comunicação e informação. E que pode provocar uma alteração no conceito de “cidadania”, democrática, enten</w:t>
      </w:r>
      <w:r w:rsidR="00CB3EE1">
        <w:rPr>
          <w:sz w:val="36"/>
          <w:szCs w:val="36"/>
        </w:rPr>
        <w:t>-</w:t>
      </w:r>
      <w:r w:rsidRPr="004C4EF6">
        <w:rPr>
          <w:sz w:val="36"/>
          <w:szCs w:val="36"/>
        </w:rPr>
        <w:t>da-se, podendo transformar o cidadão num mero “consu</w:t>
      </w:r>
      <w:r w:rsidR="00CB3EE1">
        <w:rPr>
          <w:sz w:val="36"/>
          <w:szCs w:val="36"/>
        </w:rPr>
        <w:t>-</w:t>
      </w:r>
      <w:r w:rsidRPr="004C4EF6">
        <w:rPr>
          <w:sz w:val="36"/>
          <w:szCs w:val="36"/>
        </w:rPr>
        <w:t>midor” à mercê de um gigantesco mercado de prestadores de serviços, fornecedores de conteúdos e empresas priva</w:t>
      </w:r>
      <w:r w:rsidR="00CB3EE1">
        <w:rPr>
          <w:sz w:val="36"/>
          <w:szCs w:val="36"/>
        </w:rPr>
        <w:t>-</w:t>
      </w:r>
      <w:r w:rsidRPr="004C4EF6">
        <w:rPr>
          <w:sz w:val="36"/>
          <w:szCs w:val="36"/>
        </w:rPr>
        <w:t>das de</w:t>
      </w:r>
      <w:r w:rsidR="00353722">
        <w:rPr>
          <w:sz w:val="36"/>
          <w:szCs w:val="36"/>
        </w:rPr>
        <w:t xml:space="preserve"> radiodi</w:t>
      </w:r>
      <w:r w:rsidRPr="004C4EF6">
        <w:rPr>
          <w:sz w:val="36"/>
          <w:szCs w:val="36"/>
        </w:rPr>
        <w:t>fusão, telecomunicação e agências de pu</w:t>
      </w:r>
      <w:r w:rsidR="00CB3EE1">
        <w:rPr>
          <w:sz w:val="36"/>
          <w:szCs w:val="36"/>
        </w:rPr>
        <w:t>-</w:t>
      </w:r>
      <w:r w:rsidRPr="004C4EF6">
        <w:rPr>
          <w:sz w:val="36"/>
          <w:szCs w:val="36"/>
        </w:rPr>
        <w:t>blicidade. Um mercado, mais privado do que público, em suma.</w:t>
      </w:r>
    </w:p>
    <w:p w:rsidR="00CB3EE1" w:rsidRDefault="00CB3EE1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CB3EE1" w:rsidP="004C4EF6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Um contexto e um panorama onde confluem e se en-tre</w:t>
      </w:r>
      <w:r w:rsidR="004C4EF6" w:rsidRPr="004C4EF6">
        <w:rPr>
          <w:sz w:val="36"/>
          <w:szCs w:val="36"/>
        </w:rPr>
        <w:t xml:space="preserve">cruzam vários direitos. E, designadamente, a liberdade de expressão e de acesso à Internet e redes telemáticas </w:t>
      </w:r>
      <w:r w:rsidR="004C4EF6" w:rsidRPr="004C4EF6">
        <w:rPr>
          <w:sz w:val="36"/>
          <w:szCs w:val="36"/>
        </w:rPr>
        <w:lastRenderedPageBreak/>
        <w:t xml:space="preserve">face aos direitos de propriedade e a liberdade contratual. E que se traduz, por último, num crescimento exponencial do denominado “espaço público” no sentido habermasiano e comum do termo.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2. Assim, no que concerne ao desenvolvimento das crianças, pergunta-se: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(a) O aparecimento da nova sociedade da comunicação e informação alterou o conceito “tradicional” de família?</w:t>
      </w:r>
    </w:p>
    <w:p w:rsidR="00CB3EE1" w:rsidRPr="004C4EF6" w:rsidRDefault="00CB3EE1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(b) A criança, que passa de objecto a sujeito de direi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tos</w:t>
      </w:r>
      <w:r w:rsidR="00CB3EE1" w:rsidRPr="00353722">
        <w:rPr>
          <w:rStyle w:val="Refdenotaderodap"/>
          <w:sz w:val="24"/>
        </w:rPr>
        <w:footnoteReference w:id="1"/>
      </w:r>
      <w:r w:rsidRPr="004C4EF6">
        <w:rPr>
          <w:sz w:val="36"/>
          <w:szCs w:val="36"/>
        </w:rPr>
        <w:t>, goza de um direito geral de acesso à rede telemática?</w:t>
      </w:r>
      <w:r w:rsidR="00353722">
        <w:rPr>
          <w:sz w:val="36"/>
          <w:szCs w:val="36"/>
        </w:rPr>
        <w:t xml:space="preserve"> Exposta a experiências, conteú</w:t>
      </w:r>
      <w:r w:rsidRPr="004C4EF6">
        <w:rPr>
          <w:sz w:val="36"/>
          <w:szCs w:val="36"/>
        </w:rPr>
        <w:t>dos, argumentos ou ima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gens não planeadas e não queridas? </w:t>
      </w:r>
    </w:p>
    <w:p w:rsidR="00AD2B93" w:rsidRPr="004C4EF6" w:rsidRDefault="00AD2B93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(c) Deve o Estado e os poderes públicos regular, do ponto de vista civil e criminal, a conduta dos cidadãos, novas empresas e mercados que actuam no chamado “Ci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berespaço”?</w:t>
      </w:r>
    </w:p>
    <w:p w:rsidR="00AD2B93" w:rsidRDefault="00AD2B93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0163AC" w:rsidRPr="000163AC" w:rsidRDefault="00AD2B93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0163AC">
        <w:rPr>
          <w:sz w:val="36"/>
          <w:szCs w:val="36"/>
        </w:rPr>
        <w:lastRenderedPageBreak/>
        <w:t>(d) Existe uma responsabilidade</w:t>
      </w:r>
      <w:r w:rsidR="000163AC" w:rsidRPr="000163AC">
        <w:rPr>
          <w:sz w:val="36"/>
          <w:szCs w:val="36"/>
        </w:rPr>
        <w:t xml:space="preserve"> “social” das empre</w:t>
      </w:r>
      <w:r w:rsidR="000163AC">
        <w:rPr>
          <w:sz w:val="36"/>
          <w:szCs w:val="36"/>
        </w:rPr>
        <w:t>-</w:t>
      </w:r>
      <w:r w:rsidR="000163AC" w:rsidRPr="000163AC">
        <w:rPr>
          <w:sz w:val="36"/>
          <w:szCs w:val="36"/>
        </w:rPr>
        <w:t xml:space="preserve">sas? Com diferenciação entre </w:t>
      </w:r>
      <w:r w:rsidR="000163AC" w:rsidRPr="000163AC">
        <w:rPr>
          <w:i/>
          <w:sz w:val="36"/>
          <w:szCs w:val="36"/>
        </w:rPr>
        <w:t>responsability</w:t>
      </w:r>
      <w:r w:rsidR="000163AC" w:rsidRPr="000163AC">
        <w:rPr>
          <w:sz w:val="36"/>
          <w:szCs w:val="36"/>
        </w:rPr>
        <w:t xml:space="preserve"> (: responsabi</w:t>
      </w:r>
      <w:r w:rsidR="000163AC">
        <w:rPr>
          <w:sz w:val="36"/>
          <w:szCs w:val="36"/>
        </w:rPr>
        <w:t>-</w:t>
      </w:r>
      <w:r w:rsidR="000163AC" w:rsidRPr="000163AC">
        <w:rPr>
          <w:sz w:val="36"/>
          <w:szCs w:val="36"/>
        </w:rPr>
        <w:t xml:space="preserve">lidade no processo de tomada das decisões) e </w:t>
      </w:r>
      <w:r w:rsidR="000163AC" w:rsidRPr="000163AC">
        <w:rPr>
          <w:i/>
          <w:sz w:val="36"/>
          <w:szCs w:val="36"/>
        </w:rPr>
        <w:t>accounta</w:t>
      </w:r>
      <w:r w:rsidR="000163AC">
        <w:rPr>
          <w:i/>
          <w:sz w:val="36"/>
          <w:szCs w:val="36"/>
        </w:rPr>
        <w:t>-</w:t>
      </w:r>
      <w:r w:rsidR="000163AC" w:rsidRPr="000163AC">
        <w:rPr>
          <w:i/>
          <w:sz w:val="36"/>
          <w:szCs w:val="36"/>
        </w:rPr>
        <w:t>bility</w:t>
      </w:r>
      <w:r w:rsidR="000163AC" w:rsidRPr="000163AC">
        <w:rPr>
          <w:sz w:val="36"/>
          <w:szCs w:val="36"/>
        </w:rPr>
        <w:t xml:space="preserve"> (</w:t>
      </w:r>
      <w:r w:rsidR="00467F0A">
        <w:rPr>
          <w:sz w:val="36"/>
          <w:szCs w:val="36"/>
        </w:rPr>
        <w:t xml:space="preserve">: responsabilidade </w:t>
      </w:r>
      <w:r w:rsidR="000163AC" w:rsidRPr="000163AC">
        <w:rPr>
          <w:sz w:val="36"/>
          <w:szCs w:val="36"/>
        </w:rPr>
        <w:t>n</w:t>
      </w:r>
      <w:r w:rsidR="000163AC">
        <w:rPr>
          <w:sz w:val="36"/>
          <w:szCs w:val="36"/>
        </w:rPr>
        <w:t xml:space="preserve">o sentido de “prestação de </w:t>
      </w:r>
      <w:r w:rsidR="00467F0A">
        <w:rPr>
          <w:sz w:val="36"/>
          <w:szCs w:val="36"/>
        </w:rPr>
        <w:t>con-</w:t>
      </w:r>
      <w:r w:rsidR="000163AC">
        <w:rPr>
          <w:sz w:val="36"/>
          <w:szCs w:val="36"/>
        </w:rPr>
        <w:t>tas”)?</w:t>
      </w:r>
      <w:r w:rsidR="00F63C7F">
        <w:rPr>
          <w:sz w:val="36"/>
          <w:szCs w:val="36"/>
        </w:rPr>
        <w:t xml:space="preserve"> E num grupo transnacional quem assume </w:t>
      </w:r>
      <w:r w:rsidR="00467F0A">
        <w:rPr>
          <w:sz w:val="36"/>
          <w:szCs w:val="36"/>
        </w:rPr>
        <w:t>ess</w:t>
      </w:r>
      <w:r w:rsidR="00F63C7F">
        <w:rPr>
          <w:sz w:val="36"/>
          <w:szCs w:val="36"/>
        </w:rPr>
        <w:t>a res</w:t>
      </w:r>
      <w:r w:rsidR="00467F0A">
        <w:rPr>
          <w:sz w:val="36"/>
          <w:szCs w:val="36"/>
        </w:rPr>
        <w:t>-</w:t>
      </w:r>
      <w:r w:rsidR="00F63C7F">
        <w:rPr>
          <w:sz w:val="36"/>
          <w:szCs w:val="36"/>
        </w:rPr>
        <w:t>ponsabilidade?</w:t>
      </w:r>
    </w:p>
    <w:p w:rsidR="000163AC" w:rsidRDefault="000163AC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AD2B93" w:rsidRDefault="000163AC" w:rsidP="004C4EF6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(e) E</w:t>
      </w:r>
      <w:r w:rsidR="00F63C7F">
        <w:rPr>
          <w:sz w:val="36"/>
          <w:szCs w:val="36"/>
        </w:rPr>
        <w:t>, ainda, existe</w:t>
      </w:r>
      <w:r>
        <w:rPr>
          <w:sz w:val="36"/>
          <w:szCs w:val="36"/>
        </w:rPr>
        <w:t xml:space="preserve"> responsabilidade</w:t>
      </w:r>
      <w:r w:rsidR="00AD2B93">
        <w:rPr>
          <w:sz w:val="36"/>
          <w:szCs w:val="36"/>
        </w:rPr>
        <w:t xml:space="preserve"> “penal” </w:t>
      </w:r>
      <w:r w:rsidR="00467F0A">
        <w:rPr>
          <w:sz w:val="36"/>
          <w:szCs w:val="36"/>
        </w:rPr>
        <w:t xml:space="preserve">por parte </w:t>
      </w:r>
      <w:r w:rsidR="00AD2B93">
        <w:rPr>
          <w:sz w:val="36"/>
          <w:szCs w:val="36"/>
        </w:rPr>
        <w:t xml:space="preserve">das </w:t>
      </w:r>
      <w:r w:rsidR="00F63C7F">
        <w:rPr>
          <w:sz w:val="36"/>
          <w:szCs w:val="36"/>
        </w:rPr>
        <w:t xml:space="preserve">empresas e </w:t>
      </w:r>
      <w:r w:rsidR="00AD2B93">
        <w:rPr>
          <w:sz w:val="36"/>
          <w:szCs w:val="36"/>
        </w:rPr>
        <w:t>pessoas colectivas?</w:t>
      </w:r>
      <w:r>
        <w:rPr>
          <w:sz w:val="36"/>
          <w:szCs w:val="36"/>
        </w:rPr>
        <w:t xml:space="preserve"> Aceite em França e no Reino Unido, mas recusada</w:t>
      </w:r>
      <w:r w:rsidR="00467F0A">
        <w:rPr>
          <w:sz w:val="36"/>
          <w:szCs w:val="36"/>
        </w:rPr>
        <w:t>, por exempo,</w:t>
      </w:r>
      <w:r>
        <w:rPr>
          <w:sz w:val="36"/>
          <w:szCs w:val="36"/>
        </w:rPr>
        <w:t xml:space="preserve"> na Alemanha.</w:t>
      </w:r>
    </w:p>
    <w:p w:rsidR="00AD2B93" w:rsidRPr="004C4EF6" w:rsidRDefault="00AD2B93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Default="00AD2B93" w:rsidP="004C4EF6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r w:rsidR="000163AC">
        <w:rPr>
          <w:sz w:val="36"/>
          <w:szCs w:val="36"/>
        </w:rPr>
        <w:t>f</w:t>
      </w:r>
      <w:r w:rsidR="004C4EF6" w:rsidRPr="004C4EF6">
        <w:rPr>
          <w:sz w:val="36"/>
          <w:szCs w:val="36"/>
        </w:rPr>
        <w:t>) E o que faz</w:t>
      </w:r>
      <w:r w:rsidR="00467F0A">
        <w:rPr>
          <w:sz w:val="36"/>
          <w:szCs w:val="36"/>
        </w:rPr>
        <w:t>er com a liberdade de expressão?</w:t>
      </w:r>
      <w:r w:rsidR="004C4EF6" w:rsidRPr="004C4EF6">
        <w:rPr>
          <w:sz w:val="36"/>
          <w:szCs w:val="36"/>
        </w:rPr>
        <w:t xml:space="preserve"> E, em particular, a liberdade de expressão anónima? Deve a li</w:t>
      </w:r>
      <w:r w:rsidR="00353722">
        <w:rPr>
          <w:sz w:val="36"/>
          <w:szCs w:val="36"/>
        </w:rPr>
        <w:t>-</w:t>
      </w:r>
      <w:r w:rsidR="004C4EF6" w:rsidRPr="004C4EF6">
        <w:rPr>
          <w:sz w:val="36"/>
          <w:szCs w:val="36"/>
        </w:rPr>
        <w:t xml:space="preserve">berdade de expressão ser passível de “censura”, e, como tal, “restringida”? Ou somente em casos verdadeiramente “excepcionais”? Por exemplo, no chamado “discurso </w:t>
      </w:r>
      <w:r w:rsidR="000163AC">
        <w:rPr>
          <w:sz w:val="36"/>
          <w:szCs w:val="36"/>
        </w:rPr>
        <w:t xml:space="preserve">do </w:t>
      </w:r>
      <w:r w:rsidR="004C4EF6" w:rsidRPr="004C4EF6">
        <w:rPr>
          <w:sz w:val="36"/>
          <w:szCs w:val="36"/>
        </w:rPr>
        <w:t>ódio” (</w:t>
      </w:r>
      <w:r w:rsidR="004C4EF6" w:rsidRPr="004C4EF6">
        <w:rPr>
          <w:i/>
          <w:sz w:val="36"/>
          <w:szCs w:val="36"/>
        </w:rPr>
        <w:t>hate speech</w:t>
      </w:r>
      <w:r w:rsidR="00467F0A">
        <w:rPr>
          <w:sz w:val="36"/>
          <w:szCs w:val="36"/>
        </w:rPr>
        <w:t xml:space="preserve">). </w:t>
      </w:r>
      <w:r w:rsidR="000163AC">
        <w:rPr>
          <w:sz w:val="36"/>
          <w:szCs w:val="36"/>
        </w:rPr>
        <w:t>Pode este ser contrapesado face ao dano que pode causar?</w:t>
      </w:r>
      <w:r w:rsidR="00467F0A" w:rsidRPr="00353722">
        <w:rPr>
          <w:rStyle w:val="Refdenotaderodap"/>
          <w:sz w:val="24"/>
        </w:rPr>
        <w:footnoteReference w:id="2"/>
      </w:r>
    </w:p>
    <w:p w:rsidR="000163AC" w:rsidRDefault="000163AC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0163AC" w:rsidRPr="004C4EF6" w:rsidRDefault="000163AC" w:rsidP="004C4EF6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(g) E se se tratar de uma “restrição de conteúdo” (</w:t>
      </w:r>
      <w:r w:rsidR="002C4D2F">
        <w:rPr>
          <w:i/>
          <w:sz w:val="36"/>
          <w:szCs w:val="36"/>
        </w:rPr>
        <w:t>con-</w:t>
      </w:r>
      <w:r w:rsidR="00467F0A">
        <w:rPr>
          <w:i/>
          <w:sz w:val="36"/>
          <w:szCs w:val="36"/>
        </w:rPr>
        <w:t>tent-</w:t>
      </w:r>
      <w:r w:rsidRPr="002C4D2F">
        <w:rPr>
          <w:i/>
          <w:sz w:val="36"/>
          <w:szCs w:val="36"/>
        </w:rPr>
        <w:t>based</w:t>
      </w:r>
      <w:r>
        <w:rPr>
          <w:sz w:val="36"/>
          <w:szCs w:val="36"/>
        </w:rPr>
        <w:t>)</w:t>
      </w:r>
      <w:r w:rsidR="002C4D2F">
        <w:rPr>
          <w:sz w:val="36"/>
          <w:szCs w:val="36"/>
        </w:rPr>
        <w:t xml:space="preserve">, deve esta ser contextualizada face ao </w:t>
      </w:r>
      <w:r w:rsidR="002C4D2F" w:rsidRPr="002C4D2F">
        <w:rPr>
          <w:i/>
          <w:sz w:val="36"/>
          <w:szCs w:val="36"/>
        </w:rPr>
        <w:t>tempo</w:t>
      </w:r>
      <w:r w:rsidR="00467F0A">
        <w:rPr>
          <w:sz w:val="36"/>
          <w:szCs w:val="36"/>
        </w:rPr>
        <w:t>,</w:t>
      </w:r>
      <w:r w:rsidR="002C4D2F">
        <w:rPr>
          <w:sz w:val="36"/>
          <w:szCs w:val="36"/>
        </w:rPr>
        <w:t xml:space="preserve"> </w:t>
      </w:r>
      <w:r w:rsidR="002C4D2F" w:rsidRPr="002C4D2F">
        <w:rPr>
          <w:i/>
          <w:sz w:val="36"/>
          <w:szCs w:val="36"/>
        </w:rPr>
        <w:t xml:space="preserve">lugar </w:t>
      </w:r>
      <w:r w:rsidR="00467F0A">
        <w:rPr>
          <w:sz w:val="36"/>
          <w:szCs w:val="36"/>
        </w:rPr>
        <w:t xml:space="preserve">e </w:t>
      </w:r>
      <w:r w:rsidR="002C4D2F" w:rsidRPr="002C4D2F">
        <w:rPr>
          <w:i/>
          <w:sz w:val="36"/>
          <w:szCs w:val="36"/>
        </w:rPr>
        <w:t>modo</w:t>
      </w:r>
      <w:r w:rsidR="002C4D2F">
        <w:rPr>
          <w:sz w:val="36"/>
          <w:szCs w:val="36"/>
        </w:rPr>
        <w:t xml:space="preserve"> do exercício da expressão?</w:t>
      </w:r>
    </w:p>
    <w:p w:rsidR="002C4D2F" w:rsidRDefault="002C4D2F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2C4D2F" w:rsidP="004C4EF6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(h</w:t>
      </w:r>
      <w:r w:rsidR="004C4EF6" w:rsidRPr="004C4EF6">
        <w:rPr>
          <w:sz w:val="36"/>
          <w:szCs w:val="36"/>
        </w:rPr>
        <w:t>) Como se define um “bem públi</w:t>
      </w:r>
      <w:r w:rsidR="00353722">
        <w:rPr>
          <w:sz w:val="36"/>
          <w:szCs w:val="36"/>
        </w:rPr>
        <w:t>co”? Através de escolhas indivi</w:t>
      </w:r>
      <w:r w:rsidR="004C4EF6" w:rsidRPr="004C4EF6">
        <w:rPr>
          <w:sz w:val="36"/>
          <w:szCs w:val="36"/>
        </w:rPr>
        <w:t>duais ou colectivas? Ou através do binómio divisibilidade/indivisibilidade</w:t>
      </w:r>
      <w:r>
        <w:rPr>
          <w:sz w:val="36"/>
          <w:szCs w:val="36"/>
        </w:rPr>
        <w:t>, isto é, “não exclusividade”</w:t>
      </w:r>
      <w:r w:rsidR="004C4EF6" w:rsidRPr="004C4EF6">
        <w:rPr>
          <w:sz w:val="36"/>
          <w:szCs w:val="36"/>
        </w:rPr>
        <w:t xml:space="preserve"> de fruição e de gozo?</w:t>
      </w:r>
    </w:p>
    <w:p w:rsidR="002C4D2F" w:rsidRDefault="002C4D2F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2C4D2F" w:rsidP="004C4EF6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(i</w:t>
      </w:r>
      <w:r w:rsidR="004C4EF6" w:rsidRPr="004C4EF6">
        <w:rPr>
          <w:sz w:val="36"/>
          <w:szCs w:val="36"/>
        </w:rPr>
        <w:t>) Quem são, afinal, os novos intermediários ou me</w:t>
      </w:r>
      <w:r w:rsidR="00353722">
        <w:rPr>
          <w:sz w:val="36"/>
          <w:szCs w:val="36"/>
        </w:rPr>
        <w:t>-</w:t>
      </w:r>
      <w:r w:rsidR="004C4EF6" w:rsidRPr="004C4EF6">
        <w:rPr>
          <w:sz w:val="36"/>
          <w:szCs w:val="36"/>
        </w:rPr>
        <w:t>diadores do interesse geral?</w:t>
      </w:r>
    </w:p>
    <w:p w:rsidR="002C4D2F" w:rsidRDefault="002C4D2F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2C4D2F" w:rsidP="004C4EF6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(j</w:t>
      </w:r>
      <w:r w:rsidR="004C4EF6" w:rsidRPr="004C4EF6">
        <w:rPr>
          <w:sz w:val="36"/>
          <w:szCs w:val="36"/>
        </w:rPr>
        <w:t xml:space="preserve">) O que deverá entender-se por “regulação”? </w:t>
      </w:r>
    </w:p>
    <w:p w:rsidR="00B90610" w:rsidRDefault="00B90610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F63C7F" w:rsidRPr="004C4EF6" w:rsidRDefault="00F63C7F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i/>
          <w:sz w:val="36"/>
          <w:szCs w:val="36"/>
        </w:rPr>
      </w:pPr>
      <w:r w:rsidRPr="004C4EF6">
        <w:rPr>
          <w:i/>
          <w:sz w:val="36"/>
          <w:szCs w:val="36"/>
        </w:rPr>
        <w:t>C) A questão da regulação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1. Quanto a esta última interrogação, a questão não é a de saber se devemos optar entre a existência ou não exis</w:t>
      </w:r>
      <w:r w:rsidR="002C4D2F">
        <w:rPr>
          <w:sz w:val="36"/>
          <w:szCs w:val="36"/>
        </w:rPr>
        <w:t>-</w:t>
      </w:r>
      <w:r w:rsidRPr="004C4EF6">
        <w:rPr>
          <w:sz w:val="36"/>
          <w:szCs w:val="36"/>
        </w:rPr>
        <w:t>tência de regulação, mas antes a de analisar qual o</w:t>
      </w:r>
      <w:r w:rsidRPr="002C4D2F">
        <w:rPr>
          <w:i/>
          <w:sz w:val="36"/>
          <w:szCs w:val="36"/>
        </w:rPr>
        <w:t xml:space="preserve"> tipo </w:t>
      </w:r>
      <w:r w:rsidRPr="004C4EF6">
        <w:rPr>
          <w:sz w:val="36"/>
          <w:szCs w:val="36"/>
        </w:rPr>
        <w:t>de regulação necessária e adequada.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lastRenderedPageBreak/>
        <w:t>E o problema não passa por um sistema de regulação da liberdade de expressão, constitucionalmente inadmissí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vel. Engloba ainda a questão do actual </w:t>
      </w:r>
      <w:r w:rsidRPr="004C4EF6">
        <w:rPr>
          <w:i/>
          <w:sz w:val="36"/>
          <w:szCs w:val="36"/>
        </w:rPr>
        <w:t>status</w:t>
      </w:r>
      <w:r w:rsidRPr="004C4EF6">
        <w:rPr>
          <w:sz w:val="36"/>
          <w:szCs w:val="36"/>
        </w:rPr>
        <w:t xml:space="preserve"> das licenças nas grandes empresas de radiodifusão e comunicação.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E aqui gostaria de sublinhar a posição defendida por Cass R. SUNSTEIN</w:t>
      </w:r>
      <w:r w:rsidRPr="00353722">
        <w:rPr>
          <w:rStyle w:val="Refdenotaderodap"/>
          <w:sz w:val="24"/>
        </w:rPr>
        <w:footnoteReference w:id="3"/>
      </w:r>
      <w:r w:rsidRPr="004C4EF6">
        <w:rPr>
          <w:sz w:val="36"/>
          <w:szCs w:val="36"/>
        </w:rPr>
        <w:t>: os direitos reconhecidos pela Cons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tituição, incluindo os direitos de propriedade e a liberdade contratual, apresentam-se como a quinta-essência de um modelo de regulação pública. Os direitos são a base da “soberania”. Criam “poder”, mas também “limitam” o poder. São, numa palavra, uma forma de “divisão” (: ver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tical) do poder. 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E ao Estado e aos poderes públicos incubem alguns “deveres” ou “obrigações”, inclusive, jurídicos. Designa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damente, uma obrigação de respeito, de defesa, de protec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ção e promoção de direitos. Como sejam o direito à re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serva da intimidade da vida privada e familiar, o desen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volvimento da personalidade, incluindo o da criança</w:t>
      </w:r>
      <w:r w:rsidRPr="00353722">
        <w:rPr>
          <w:rStyle w:val="Refdenotaderodap"/>
          <w:sz w:val="24"/>
        </w:rPr>
        <w:footnoteReference w:id="4"/>
      </w:r>
      <w:r w:rsidRPr="004C4EF6">
        <w:rPr>
          <w:sz w:val="36"/>
          <w:szCs w:val="36"/>
        </w:rPr>
        <w:t xml:space="preserve">, a </w:t>
      </w:r>
      <w:r w:rsidRPr="004C4EF6">
        <w:rPr>
          <w:sz w:val="36"/>
          <w:szCs w:val="36"/>
        </w:rPr>
        <w:lastRenderedPageBreak/>
        <w:t>protecção da infância</w:t>
      </w:r>
      <w:r w:rsidRPr="00353722">
        <w:rPr>
          <w:rStyle w:val="Refdenotaderodap"/>
          <w:sz w:val="24"/>
        </w:rPr>
        <w:footnoteReference w:id="5"/>
      </w:r>
      <w:r w:rsidRPr="004C4EF6">
        <w:rPr>
          <w:sz w:val="36"/>
          <w:szCs w:val="36"/>
        </w:rPr>
        <w:t xml:space="preserve"> e de auxílio prestacional às famí</w:t>
      </w:r>
      <w:r w:rsidR="00353722">
        <w:rPr>
          <w:sz w:val="36"/>
          <w:szCs w:val="36"/>
        </w:rPr>
        <w:t>-</w:t>
      </w:r>
      <w:r w:rsidRPr="004C4EF6">
        <w:rPr>
          <w:sz w:val="36"/>
          <w:szCs w:val="36"/>
        </w:rPr>
        <w:t>lias</w:t>
      </w:r>
      <w:r w:rsidRPr="00353722">
        <w:rPr>
          <w:rStyle w:val="Refdenotaderodap"/>
          <w:sz w:val="24"/>
        </w:rPr>
        <w:footnoteReference w:id="6"/>
      </w:r>
      <w:r w:rsidRPr="004C4EF6">
        <w:rPr>
          <w:sz w:val="36"/>
          <w:szCs w:val="36"/>
        </w:rPr>
        <w:t xml:space="preserve">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3. O Ciberespaço não é, pois, um domínio a-jurídico ou isento de regulação. O sistema de direitos na Internet</w:t>
      </w:r>
      <w:r w:rsidR="00AC3184">
        <w:rPr>
          <w:sz w:val="36"/>
          <w:szCs w:val="36"/>
        </w:rPr>
        <w:t xml:space="preserve"> (: o </w:t>
      </w:r>
      <w:r w:rsidR="00467F0A">
        <w:rPr>
          <w:sz w:val="36"/>
          <w:szCs w:val="36"/>
        </w:rPr>
        <w:t>“</w:t>
      </w:r>
      <w:r w:rsidR="00AC3184">
        <w:rPr>
          <w:sz w:val="36"/>
          <w:szCs w:val="36"/>
        </w:rPr>
        <w:t>instrumento</w:t>
      </w:r>
      <w:r w:rsidR="00467F0A">
        <w:rPr>
          <w:sz w:val="36"/>
          <w:szCs w:val="36"/>
        </w:rPr>
        <w:t>”</w:t>
      </w:r>
      <w:r w:rsidR="00AC3184">
        <w:rPr>
          <w:sz w:val="36"/>
          <w:szCs w:val="36"/>
        </w:rPr>
        <w:t xml:space="preserve">) </w:t>
      </w:r>
      <w:r w:rsidRPr="004C4EF6">
        <w:rPr>
          <w:sz w:val="36"/>
          <w:szCs w:val="36"/>
        </w:rPr>
        <w:t>e no Ciberespaço</w:t>
      </w:r>
      <w:r w:rsidR="00AC3184">
        <w:rPr>
          <w:sz w:val="36"/>
          <w:szCs w:val="36"/>
        </w:rPr>
        <w:t xml:space="preserve"> (: o </w:t>
      </w:r>
      <w:r w:rsidR="00467F0A">
        <w:rPr>
          <w:sz w:val="36"/>
          <w:szCs w:val="36"/>
        </w:rPr>
        <w:t>“</w:t>
      </w:r>
      <w:r w:rsidR="00AC3184">
        <w:rPr>
          <w:sz w:val="36"/>
          <w:szCs w:val="36"/>
        </w:rPr>
        <w:t>fórum operacio</w:t>
      </w:r>
      <w:r w:rsidR="00467F0A">
        <w:rPr>
          <w:sz w:val="36"/>
          <w:szCs w:val="36"/>
        </w:rPr>
        <w:t>-</w:t>
      </w:r>
      <w:r w:rsidR="00AC3184">
        <w:rPr>
          <w:sz w:val="36"/>
          <w:szCs w:val="36"/>
        </w:rPr>
        <w:t>nal</w:t>
      </w:r>
      <w:r w:rsidR="00467F0A">
        <w:rPr>
          <w:sz w:val="36"/>
          <w:szCs w:val="36"/>
        </w:rPr>
        <w:t>”</w:t>
      </w:r>
      <w:r w:rsidR="00AC3184">
        <w:rPr>
          <w:sz w:val="36"/>
          <w:szCs w:val="36"/>
        </w:rPr>
        <w:t>)</w:t>
      </w:r>
      <w:r w:rsidRPr="004C4EF6">
        <w:rPr>
          <w:sz w:val="36"/>
          <w:szCs w:val="36"/>
        </w:rPr>
        <w:t>, em princípio, não é um “aliud” face a outros siste</w:t>
      </w:r>
      <w:r w:rsidR="00467F0A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mas de direitos, mormente os de natureza constitucional e legal.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Mas a Internet e o Ciberespaço apresentam uma com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plexidade e contextualização altamente problemática. Uma complexidade e contextualização que inclui, ainda, um sis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tema de monotorização (e/ou de policiamento) privado, com capacidade tecnológica para excluir os outros. Veja-se, a propósito, os casos, paradigmáticos, de empresas co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mo o Google, Facebook, Amazon.com, e outras.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4. A esta luz, não existem aqui “auto-interesses es</w:t>
      </w:r>
      <w:r w:rsidR="00B90610">
        <w:rPr>
          <w:sz w:val="36"/>
          <w:szCs w:val="36"/>
        </w:rPr>
        <w:t>-</w:t>
      </w:r>
      <w:r w:rsidRPr="004C4EF6">
        <w:rPr>
          <w:sz w:val="36"/>
          <w:szCs w:val="36"/>
        </w:rPr>
        <w:t>clarecidos”, “constituições digitais”</w:t>
      </w:r>
      <w:r w:rsidRPr="000719FF">
        <w:rPr>
          <w:rStyle w:val="Refdenotaderodap"/>
          <w:sz w:val="24"/>
        </w:rPr>
        <w:footnoteReference w:id="7"/>
      </w:r>
      <w:r w:rsidRPr="004C4EF6">
        <w:rPr>
          <w:sz w:val="36"/>
          <w:szCs w:val="36"/>
        </w:rPr>
        <w:t xml:space="preserve"> ou mundos de “lais</w:t>
      </w:r>
      <w:r w:rsidR="00B90610">
        <w:rPr>
          <w:sz w:val="36"/>
          <w:szCs w:val="36"/>
        </w:rPr>
        <w:t>-</w:t>
      </w:r>
      <w:r w:rsidRPr="004C4EF6">
        <w:rPr>
          <w:sz w:val="36"/>
          <w:szCs w:val="36"/>
        </w:rPr>
        <w:lastRenderedPageBreak/>
        <w:t xml:space="preserve">sez faire”. Antes a necessidade de se defender e promover </w:t>
      </w:r>
      <w:r w:rsidRPr="004C4EF6">
        <w:rPr>
          <w:i/>
          <w:sz w:val="36"/>
          <w:szCs w:val="36"/>
        </w:rPr>
        <w:t>políticas públicas</w:t>
      </w:r>
      <w:r w:rsidRPr="004C4EF6">
        <w:rPr>
          <w:sz w:val="36"/>
          <w:szCs w:val="36"/>
        </w:rPr>
        <w:t>, nalguns casos já com consagração constitucional</w:t>
      </w:r>
      <w:r w:rsidRPr="00B90610">
        <w:rPr>
          <w:rStyle w:val="Refdenotaderodap"/>
          <w:sz w:val="24"/>
        </w:rPr>
        <w:footnoteReference w:id="8"/>
      </w:r>
      <w:r w:rsidRPr="004C4EF6">
        <w:rPr>
          <w:sz w:val="36"/>
          <w:szCs w:val="36"/>
        </w:rPr>
        <w:t xml:space="preserve">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Quer dizer, o mundo dos direitos, e, e</w:t>
      </w:r>
      <w:r w:rsidR="000719FF">
        <w:rPr>
          <w:sz w:val="36"/>
          <w:szCs w:val="36"/>
        </w:rPr>
        <w:t>m particular, dos direitos cons</w:t>
      </w:r>
      <w:r w:rsidRPr="004C4EF6">
        <w:rPr>
          <w:sz w:val="36"/>
          <w:szCs w:val="36"/>
        </w:rPr>
        <w:t>titucionais, cria uma arquitectura de “equilí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brio” entre diversos interesses e bens jurídicos que importa preservar. E, no limite, garantir e promover.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E é aqui que entra em liça a questão da regulação das condutas. E, em particular, da conduta ilícita. Devem a obsc</w:t>
      </w:r>
      <w:r w:rsidR="000719FF">
        <w:rPr>
          <w:sz w:val="36"/>
          <w:szCs w:val="36"/>
        </w:rPr>
        <w:t>enidade e a pornografia ser cri</w:t>
      </w:r>
      <w:r w:rsidRPr="004C4EF6">
        <w:rPr>
          <w:sz w:val="36"/>
          <w:szCs w:val="36"/>
        </w:rPr>
        <w:t>minalizadas? O abuso sexual de menor</w:t>
      </w:r>
      <w:r w:rsidR="000719FF">
        <w:rPr>
          <w:sz w:val="36"/>
          <w:szCs w:val="36"/>
        </w:rPr>
        <w:t>es, a violência doméstica, o ci</w:t>
      </w:r>
      <w:r w:rsidRPr="004C4EF6">
        <w:rPr>
          <w:sz w:val="36"/>
          <w:szCs w:val="36"/>
        </w:rPr>
        <w:t>berterroris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mo e os cibercrimes? A fraude, a difamação, a violação dos direitos de autor e da propriedade intelectual? Pelo recurso ao ilícito civil ou ao ilícito criminal?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 xml:space="preserve">Convenhamos que há necessidade de traçar linhas de direcção e de orientação, </w:t>
      </w:r>
      <w:r w:rsidRPr="004C4EF6">
        <w:rPr>
          <w:i/>
          <w:sz w:val="36"/>
          <w:szCs w:val="36"/>
        </w:rPr>
        <w:t>políticas públicas</w:t>
      </w:r>
      <w:r w:rsidRPr="004C4EF6">
        <w:rPr>
          <w:sz w:val="36"/>
          <w:szCs w:val="36"/>
        </w:rPr>
        <w:t xml:space="preserve">, em suma. E </w:t>
      </w:r>
      <w:r w:rsidRPr="004C4EF6">
        <w:rPr>
          <w:sz w:val="36"/>
          <w:szCs w:val="36"/>
        </w:rPr>
        <w:lastRenderedPageBreak/>
        <w:t xml:space="preserve">que competem, essencialmente, ao </w:t>
      </w:r>
      <w:r w:rsidRPr="004C4EF6">
        <w:rPr>
          <w:i/>
          <w:sz w:val="36"/>
          <w:szCs w:val="36"/>
        </w:rPr>
        <w:t>processo político de</w:t>
      </w:r>
      <w:r w:rsidR="000719FF">
        <w:rPr>
          <w:i/>
          <w:sz w:val="36"/>
          <w:szCs w:val="36"/>
        </w:rPr>
        <w:t>-</w:t>
      </w:r>
      <w:r w:rsidRPr="004C4EF6">
        <w:rPr>
          <w:i/>
          <w:sz w:val="36"/>
          <w:szCs w:val="36"/>
        </w:rPr>
        <w:t>mocrático</w:t>
      </w:r>
      <w:r w:rsidRPr="004C4EF6">
        <w:rPr>
          <w:sz w:val="36"/>
          <w:szCs w:val="36"/>
        </w:rPr>
        <w:t xml:space="preserve">. </w:t>
      </w:r>
    </w:p>
    <w:p w:rsid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F63C7F" w:rsidRPr="004C4EF6" w:rsidRDefault="00F63C7F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i/>
          <w:sz w:val="36"/>
          <w:szCs w:val="36"/>
        </w:rPr>
      </w:pPr>
      <w:r w:rsidRPr="004C4EF6">
        <w:rPr>
          <w:i/>
          <w:sz w:val="36"/>
          <w:szCs w:val="36"/>
        </w:rPr>
        <w:t xml:space="preserve">D) O princípio da neutralidade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1. A presente dissertação tem por objecto a “regulação dos conteúdos” disponíveis na Internet. E, em particular, a “protecção das crianças” face aos conteúdos nocivos dis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poníveis na Internet.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E essa regulação, vista de uma perspectiva mais glo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bal, não é “neutra” perante princípios e valores. A própria “constituição” deve ser compreendida como um “projecto político”. Inacabado, é certo. É essa a herança do Iluminis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mo, do Século das Luzes, mas também das revoluções in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glesa, norte-americana e francesa.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E se se trata de uma “regulação de conteúdos” (</w:t>
      </w:r>
      <w:r w:rsidR="000719FF">
        <w:rPr>
          <w:i/>
          <w:sz w:val="36"/>
          <w:szCs w:val="36"/>
        </w:rPr>
        <w:t>con-</w:t>
      </w:r>
      <w:r w:rsidRPr="004C4EF6">
        <w:rPr>
          <w:i/>
          <w:sz w:val="36"/>
          <w:szCs w:val="36"/>
        </w:rPr>
        <w:t>tent-based</w:t>
      </w:r>
      <w:r w:rsidRPr="004C4EF6">
        <w:rPr>
          <w:sz w:val="36"/>
          <w:szCs w:val="36"/>
        </w:rPr>
        <w:t>) há naturalmente escolhas e decisões a tomar. Estas, indiscutivelmente, num Estado de Direito democrá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tico e livre, pertencem ao </w:t>
      </w:r>
      <w:r w:rsidRPr="004C4EF6">
        <w:rPr>
          <w:i/>
          <w:sz w:val="36"/>
          <w:szCs w:val="36"/>
        </w:rPr>
        <w:t>processo político</w:t>
      </w:r>
      <w:r w:rsidRPr="004C4EF6">
        <w:rPr>
          <w:sz w:val="36"/>
          <w:szCs w:val="36"/>
        </w:rPr>
        <w:t xml:space="preserve">. A nível do </w:t>
      </w:r>
      <w:r w:rsidRPr="004C4EF6">
        <w:rPr>
          <w:i/>
          <w:sz w:val="36"/>
          <w:szCs w:val="36"/>
        </w:rPr>
        <w:t>poder constituinte</w:t>
      </w:r>
      <w:r w:rsidRPr="004C4EF6">
        <w:rPr>
          <w:sz w:val="36"/>
          <w:szCs w:val="36"/>
        </w:rPr>
        <w:t xml:space="preserve"> e dos </w:t>
      </w:r>
      <w:r w:rsidRPr="004C4EF6">
        <w:rPr>
          <w:i/>
          <w:sz w:val="36"/>
          <w:szCs w:val="36"/>
        </w:rPr>
        <w:t>poderes constituídos</w:t>
      </w:r>
      <w:r w:rsidRPr="004C4EF6">
        <w:rPr>
          <w:sz w:val="36"/>
          <w:szCs w:val="36"/>
        </w:rPr>
        <w:t>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lastRenderedPageBreak/>
        <w:t>Mas se há lugar a regulação, e se esta corresponde a escolhas e d</w:t>
      </w:r>
      <w:r w:rsidR="000719FF">
        <w:rPr>
          <w:sz w:val="36"/>
          <w:szCs w:val="36"/>
        </w:rPr>
        <w:t>e</w:t>
      </w:r>
      <w:r w:rsidRPr="004C4EF6">
        <w:rPr>
          <w:sz w:val="36"/>
          <w:szCs w:val="36"/>
        </w:rPr>
        <w:t>cisões político-públicas, existe o perigo de violar o princípio da neutralidade. O pluralismo de expres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são e formas de vida, em suma. E quem não tem oportu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nidade de participar, acaba por ser excluído. E se há ex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clusão há também privação da liberdade.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2. E se integrarmos todas estas questões e interro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gações no mundo do mercado da radiodifusão e da comu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nicação, então, o problema da regulação dos diferentes di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reitos e interesses em presença torna-se altamente rele-vante e precípuo. E, nesses precisos termos, também, pro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blemático.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A título meramente exemplificativo: devem os grandes meios de comunicação, v. g., a rádio e a televisão, excluir determinados pontos de vista ou perspectivas, de natureza política ou outras? Veja-se o caso, actualmente em discus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são, da radiodifusão e comercialização pela UFA (</w:t>
      </w:r>
      <w:r w:rsidRPr="004C4EF6">
        <w:rPr>
          <w:i/>
          <w:sz w:val="36"/>
          <w:szCs w:val="36"/>
        </w:rPr>
        <w:t>Univer</w:t>
      </w:r>
      <w:r w:rsidR="000719FF">
        <w:rPr>
          <w:i/>
          <w:sz w:val="36"/>
          <w:szCs w:val="36"/>
        </w:rPr>
        <w:t>-</w:t>
      </w:r>
      <w:r w:rsidRPr="004C4EF6">
        <w:rPr>
          <w:i/>
          <w:sz w:val="36"/>
          <w:szCs w:val="36"/>
        </w:rPr>
        <w:t>sum Film AG</w:t>
      </w:r>
      <w:r w:rsidRPr="004C4EF6">
        <w:rPr>
          <w:sz w:val="36"/>
          <w:szCs w:val="36"/>
        </w:rPr>
        <w:t>) dos antigos filmes de propaganda Nazi</w:t>
      </w:r>
      <w:r w:rsidRPr="000719FF">
        <w:rPr>
          <w:rStyle w:val="Refdenotaderodap"/>
          <w:sz w:val="24"/>
        </w:rPr>
        <w:footnoteReference w:id="9"/>
      </w:r>
      <w:r w:rsidRPr="004C4EF6">
        <w:rPr>
          <w:sz w:val="36"/>
          <w:szCs w:val="36"/>
        </w:rPr>
        <w:t xml:space="preserve">.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lastRenderedPageBreak/>
        <w:t>Devem os grandes meios de comunicação, mais uma vez, entre outros, a rádio e a televisão, desenvolver pro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gramas educativos dirigidos às crianças ou cobrir “</w:t>
      </w:r>
      <w:r w:rsidR="000719FF">
        <w:rPr>
          <w:sz w:val="36"/>
          <w:szCs w:val="36"/>
        </w:rPr>
        <w:t>ques-</w:t>
      </w:r>
      <w:r w:rsidRPr="004C4EF6">
        <w:rPr>
          <w:sz w:val="36"/>
          <w:szCs w:val="36"/>
        </w:rPr>
        <w:t xml:space="preserve">tões de interesse público” não lucrativas ou não dispo-níveis para o mercado comercial da radiodifusão, aí incluídas as agências de publicidade? 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 xml:space="preserve">De recordar, ainda, o caso, julgado recentemente pelo Tribunal de Justiça da União Europeia, reconhecedor de um “direito ao esquecimento” (: </w:t>
      </w:r>
      <w:r w:rsidR="00AC3899">
        <w:rPr>
          <w:sz w:val="36"/>
          <w:szCs w:val="36"/>
        </w:rPr>
        <w:t xml:space="preserve">eliminação e </w:t>
      </w:r>
      <w:r w:rsidRPr="004C4EF6">
        <w:rPr>
          <w:sz w:val="36"/>
          <w:szCs w:val="36"/>
        </w:rPr>
        <w:t>destruição de dados) face a um gigante de prestação de serviços e for</w:t>
      </w:r>
      <w:r w:rsidR="00AC3899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necedor de </w:t>
      </w:r>
      <w:r w:rsidR="000719FF">
        <w:rPr>
          <w:sz w:val="36"/>
          <w:szCs w:val="36"/>
        </w:rPr>
        <w:t>con</w:t>
      </w:r>
      <w:r w:rsidRPr="004C4EF6">
        <w:rPr>
          <w:sz w:val="36"/>
          <w:szCs w:val="36"/>
        </w:rPr>
        <w:t>teúdos: a multinacional Google</w:t>
      </w:r>
      <w:r w:rsidRPr="000719FF">
        <w:rPr>
          <w:rStyle w:val="Refdenotaderodap"/>
          <w:sz w:val="24"/>
        </w:rPr>
        <w:footnoteReference w:id="10"/>
      </w:r>
      <w:r w:rsidRPr="004C4EF6">
        <w:rPr>
          <w:sz w:val="36"/>
          <w:szCs w:val="36"/>
        </w:rPr>
        <w:t xml:space="preserve">. </w:t>
      </w:r>
    </w:p>
    <w:p w:rsidR="000719FF" w:rsidRDefault="004C4EF6" w:rsidP="00F63C7F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Ou, mais recentemente, o Acórdão do Tribunal de Justiça da União Europeia (TJUE) que invalidou o cha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mado “Digital Data Pact”, negociado entre a Comissão Europeia e as autoridades competentes dos Estados Uni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dos, por carência de protecção adequada de dados de na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tureza pessoal</w:t>
      </w:r>
      <w:r w:rsidRPr="000719FF">
        <w:rPr>
          <w:rStyle w:val="Refdenotaderodap"/>
          <w:sz w:val="24"/>
        </w:rPr>
        <w:footnoteReference w:id="11"/>
      </w:r>
      <w:r w:rsidRPr="004C4EF6">
        <w:rPr>
          <w:sz w:val="36"/>
          <w:szCs w:val="36"/>
        </w:rPr>
        <w:t>.</w:t>
      </w:r>
    </w:p>
    <w:p w:rsidR="00F63C7F" w:rsidRDefault="00F63C7F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63C7F" w:rsidRPr="004C4EF6" w:rsidRDefault="00F63C7F" w:rsidP="00F63C7F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b/>
          <w:sz w:val="36"/>
          <w:szCs w:val="36"/>
        </w:rPr>
      </w:pPr>
      <w:r w:rsidRPr="004C4EF6">
        <w:rPr>
          <w:b/>
          <w:sz w:val="36"/>
          <w:szCs w:val="36"/>
        </w:rPr>
        <w:t>III. O discurso e o estilo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1. Gostaria, por último, de fazer uma referência ao dis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curso e ao estilo do candidato.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Louva-se, antes de mais, a escol</w:t>
      </w:r>
      <w:r w:rsidR="00F63C7F">
        <w:rPr>
          <w:sz w:val="36"/>
          <w:szCs w:val="36"/>
        </w:rPr>
        <w:t>ha do tema pela sua actualidade e</w:t>
      </w:r>
      <w:r w:rsidRPr="004C4EF6">
        <w:rPr>
          <w:sz w:val="36"/>
          <w:szCs w:val="36"/>
        </w:rPr>
        <w:t xml:space="preserve"> relevância.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Mas numa dissertação de Doutoramento deve-se e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vitar, tanto quanto possível, o recurso a experiências e estados de alma meramente pessoais. E o recurso a hi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pérboles. A linguagem, o discurso científico, deve</w:t>
      </w:r>
      <w:r w:rsidR="000B720C">
        <w:rPr>
          <w:sz w:val="36"/>
          <w:szCs w:val="36"/>
        </w:rPr>
        <w:t>m ser conceptuais</w:t>
      </w:r>
      <w:r w:rsidRPr="004C4EF6">
        <w:rPr>
          <w:sz w:val="36"/>
          <w:szCs w:val="36"/>
        </w:rPr>
        <w:t xml:space="preserve"> (: as regras do discurso), estrito</w:t>
      </w:r>
      <w:r w:rsidR="000B720C">
        <w:rPr>
          <w:sz w:val="36"/>
          <w:szCs w:val="36"/>
        </w:rPr>
        <w:t>s</w:t>
      </w:r>
      <w:r w:rsidRPr="004C4EF6">
        <w:rPr>
          <w:sz w:val="36"/>
          <w:szCs w:val="36"/>
        </w:rPr>
        <w:t xml:space="preserve"> e rigoroso</w:t>
      </w:r>
      <w:r w:rsidR="000B720C">
        <w:rPr>
          <w:sz w:val="36"/>
          <w:szCs w:val="36"/>
        </w:rPr>
        <w:t>s</w:t>
      </w:r>
      <w:r w:rsidRPr="004C4EF6">
        <w:rPr>
          <w:sz w:val="36"/>
          <w:szCs w:val="36"/>
        </w:rPr>
        <w:t>. Dirige-se a um auditório: antes de mais, o Júri das provas (: auditório particular), mas também o público esclarecido, a comunidade científica, em geral.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2. Não divirjo das opções e posições assumidas nesta dissertação</w:t>
      </w:r>
      <w:r w:rsidR="00F63C7F">
        <w:rPr>
          <w:sz w:val="36"/>
          <w:szCs w:val="36"/>
        </w:rPr>
        <w:t xml:space="preserve"> pelo candidato</w:t>
      </w:r>
      <w:r w:rsidRPr="004C4EF6">
        <w:rPr>
          <w:sz w:val="36"/>
          <w:szCs w:val="36"/>
        </w:rPr>
        <w:t xml:space="preserve">. Mas no que concerne à </w:t>
      </w:r>
      <w:r w:rsidR="003C3640">
        <w:rPr>
          <w:sz w:val="36"/>
          <w:szCs w:val="36"/>
        </w:rPr>
        <w:t>li</w:t>
      </w:r>
      <w:r w:rsidR="00F63C7F">
        <w:rPr>
          <w:sz w:val="36"/>
          <w:szCs w:val="36"/>
        </w:rPr>
        <w:t>ngua-</w:t>
      </w:r>
      <w:r w:rsidRPr="004C4EF6">
        <w:rPr>
          <w:sz w:val="36"/>
          <w:szCs w:val="36"/>
        </w:rPr>
        <w:t>gem conceptual, nalguns casos sim. Por exemplo, a utili</w:t>
      </w:r>
      <w:r w:rsidR="00F63C7F">
        <w:rPr>
          <w:sz w:val="36"/>
          <w:szCs w:val="36"/>
        </w:rPr>
        <w:t>-</w:t>
      </w:r>
      <w:r w:rsidRPr="004C4EF6">
        <w:rPr>
          <w:sz w:val="36"/>
          <w:szCs w:val="36"/>
        </w:rPr>
        <w:t>zação de conceitos como a “crise do Estado”, a “crise da legitimidade”, “moral/moralidade” (tradicional, conven</w:t>
      </w:r>
      <w:r w:rsidR="00F63C7F">
        <w:rPr>
          <w:sz w:val="36"/>
          <w:szCs w:val="36"/>
        </w:rPr>
        <w:t>-</w:t>
      </w:r>
      <w:r w:rsidRPr="004C4EF6">
        <w:rPr>
          <w:sz w:val="36"/>
          <w:szCs w:val="36"/>
        </w:rPr>
        <w:lastRenderedPageBreak/>
        <w:t>cional ou crítica?), sem explicitação dos termos e parâme</w:t>
      </w:r>
      <w:r w:rsidR="00F63C7F">
        <w:rPr>
          <w:sz w:val="36"/>
          <w:szCs w:val="36"/>
        </w:rPr>
        <w:t>-</w:t>
      </w:r>
      <w:r w:rsidRPr="004C4EF6">
        <w:rPr>
          <w:sz w:val="36"/>
          <w:szCs w:val="36"/>
        </w:rPr>
        <w:t>tro de referência. Noutros casos, por simples demonstra</w:t>
      </w:r>
      <w:r w:rsidR="00F63C7F">
        <w:rPr>
          <w:sz w:val="36"/>
          <w:szCs w:val="36"/>
        </w:rPr>
        <w:t>-</w:t>
      </w:r>
      <w:r w:rsidRPr="004C4EF6">
        <w:rPr>
          <w:sz w:val="36"/>
          <w:szCs w:val="36"/>
        </w:rPr>
        <w:t>ção de erudição, sem escavar os respectivos alicerces e projectar as eventuais consequências jurídicas e sociais.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3. E ainda a opção de em larga medida deixar as questões dogmáticas por resolver para longas notas de pé de página. Teria preferido que essas questões, as hipóteses e problemas que conleva e levanta, tivessem sido objecto de análise e sistematização no corpo da dissertação.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 xml:space="preserve">Ao cabo e ao resto, que tivesse reservado para as notas de pé de página a “fonte” dos textos. </w:t>
      </w:r>
      <w:r w:rsidRPr="004C4EF6">
        <w:rPr>
          <w:i/>
          <w:sz w:val="36"/>
          <w:szCs w:val="36"/>
        </w:rPr>
        <w:t>Brevitatis causa</w:t>
      </w:r>
      <w:r w:rsidRPr="004C4EF6">
        <w:rPr>
          <w:sz w:val="36"/>
          <w:szCs w:val="36"/>
        </w:rPr>
        <w:t>, a inter-textualidade.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Também, neste aspecto, a liberdade do discurso deveria estar presente na Academia.</w:t>
      </w:r>
    </w:p>
    <w:p w:rsidR="004C4EF6" w:rsidRDefault="004C4EF6" w:rsidP="00F63C7F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Esta é, igualmente, uma questão de “Sein und Zeit”, de “ser” e de “estar”. E, sobretudo, de (bem) “estar no tempo”.</w:t>
      </w:r>
    </w:p>
    <w:p w:rsidR="00F63C7F" w:rsidRDefault="00F63C7F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63C7F" w:rsidRPr="004C4EF6" w:rsidRDefault="00F63C7F" w:rsidP="00F63C7F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b/>
          <w:sz w:val="36"/>
          <w:szCs w:val="36"/>
        </w:rPr>
      </w:pPr>
      <w:r w:rsidRPr="004C4EF6">
        <w:rPr>
          <w:b/>
          <w:sz w:val="36"/>
          <w:szCs w:val="36"/>
        </w:rPr>
        <w:t>IV. Apreciação final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Louva-se a escolha do tema pela sua actualidade e re</w:t>
      </w:r>
      <w:r w:rsidR="00C84681">
        <w:rPr>
          <w:sz w:val="36"/>
          <w:szCs w:val="36"/>
        </w:rPr>
        <w:t>-</w:t>
      </w:r>
      <w:r w:rsidRPr="004C4EF6">
        <w:rPr>
          <w:sz w:val="36"/>
          <w:szCs w:val="36"/>
        </w:rPr>
        <w:t>levância.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A bibliografia mostra-se tendencialmente completa e adequada a este tipo de provas.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Independentemente do discurso e do e</w:t>
      </w:r>
      <w:r w:rsidR="000719FF">
        <w:rPr>
          <w:sz w:val="36"/>
          <w:szCs w:val="36"/>
        </w:rPr>
        <w:t>stilo, uma opção livre do candi</w:t>
      </w:r>
      <w:r w:rsidRPr="004C4EF6">
        <w:rPr>
          <w:sz w:val="36"/>
          <w:szCs w:val="36"/>
        </w:rPr>
        <w:t>dato, a presente dissertação demonstra, pri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meiro, a capacidade de escolha de um tema. Depois, a capacidade de o desenvolver com pertinência e objecti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vidade. Incluindo a capacidade de análise e sistema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>tização, espelhadas na metodologia e estrutura propostas.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Ao candidato, resta-me desejar-lhe as maiores fe</w:t>
      </w:r>
      <w:r w:rsidR="000719FF">
        <w:rPr>
          <w:sz w:val="36"/>
          <w:szCs w:val="36"/>
        </w:rPr>
        <w:t>-</w:t>
      </w:r>
      <w:r w:rsidRPr="004C4EF6">
        <w:rPr>
          <w:sz w:val="36"/>
          <w:szCs w:val="36"/>
        </w:rPr>
        <w:t xml:space="preserve">licidades </w:t>
      </w:r>
      <w:r w:rsidR="003C3640">
        <w:rPr>
          <w:sz w:val="36"/>
          <w:szCs w:val="36"/>
        </w:rPr>
        <w:t>e êxito na realização destas</w:t>
      </w:r>
      <w:r w:rsidRPr="004C4EF6">
        <w:rPr>
          <w:sz w:val="36"/>
          <w:szCs w:val="36"/>
        </w:rPr>
        <w:t xml:space="preserve"> provas.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Muito Obrigada.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Porto, 28 de Outubro de 2015.</w:t>
      </w:r>
    </w:p>
    <w:p w:rsidR="004C4EF6" w:rsidRPr="004C4EF6" w:rsidRDefault="004C4EF6" w:rsidP="004C4EF6">
      <w:pPr>
        <w:spacing w:line="360" w:lineRule="auto"/>
        <w:ind w:firstLine="567"/>
        <w:jc w:val="both"/>
        <w:rPr>
          <w:sz w:val="36"/>
          <w:szCs w:val="36"/>
        </w:rPr>
      </w:pPr>
    </w:p>
    <w:p w:rsidR="00F63C7F" w:rsidRPr="004C4EF6" w:rsidRDefault="004C4EF6" w:rsidP="0021611C">
      <w:pPr>
        <w:spacing w:line="360" w:lineRule="auto"/>
        <w:ind w:firstLine="567"/>
        <w:jc w:val="both"/>
        <w:rPr>
          <w:sz w:val="36"/>
          <w:szCs w:val="36"/>
        </w:rPr>
      </w:pPr>
      <w:r w:rsidRPr="004C4EF6">
        <w:rPr>
          <w:sz w:val="36"/>
          <w:szCs w:val="36"/>
        </w:rPr>
        <w:t>Cristina M. M. Queiroz</w:t>
      </w:r>
    </w:p>
    <w:sectPr w:rsidR="00F63C7F" w:rsidRPr="004C4EF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1A" w:rsidRDefault="0049401A" w:rsidP="004C4EF6">
      <w:r>
        <w:separator/>
      </w:r>
    </w:p>
  </w:endnote>
  <w:endnote w:type="continuationSeparator" w:id="0">
    <w:p w:rsidR="0049401A" w:rsidRDefault="0049401A" w:rsidP="004C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788433"/>
      <w:docPartObj>
        <w:docPartGallery w:val="Page Numbers (Bottom of Page)"/>
        <w:docPartUnique/>
      </w:docPartObj>
    </w:sdtPr>
    <w:sdtEndPr/>
    <w:sdtContent>
      <w:p w:rsidR="004560F0" w:rsidRDefault="002028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5E4">
          <w:rPr>
            <w:noProof/>
          </w:rPr>
          <w:t>2</w:t>
        </w:r>
        <w:r>
          <w:fldChar w:fldCharType="end"/>
        </w:r>
      </w:p>
    </w:sdtContent>
  </w:sdt>
  <w:p w:rsidR="004560F0" w:rsidRDefault="004940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1A" w:rsidRDefault="0049401A" w:rsidP="004C4EF6">
      <w:r>
        <w:separator/>
      </w:r>
    </w:p>
  </w:footnote>
  <w:footnote w:type="continuationSeparator" w:id="0">
    <w:p w:rsidR="0049401A" w:rsidRDefault="0049401A" w:rsidP="004C4EF6">
      <w:r>
        <w:continuationSeparator/>
      </w:r>
    </w:p>
  </w:footnote>
  <w:footnote w:id="1">
    <w:p w:rsidR="00CB3EE1" w:rsidRPr="00E812BC" w:rsidRDefault="00CB3EE1" w:rsidP="00CB3EE1">
      <w:pPr>
        <w:spacing w:line="360" w:lineRule="auto"/>
        <w:ind w:firstLine="567"/>
        <w:jc w:val="both"/>
      </w:pPr>
      <w:r w:rsidRPr="006B623A">
        <w:rPr>
          <w:rStyle w:val="Refdenotaderodap"/>
          <w:sz w:val="24"/>
        </w:rPr>
        <w:footnoteRef/>
      </w:r>
      <w:r w:rsidRPr="00E812BC">
        <w:t xml:space="preserve"> </w:t>
      </w:r>
      <w:r w:rsidR="00AD2B93">
        <w:t>Com a entrada em vigor na ordem internacional da “Convenção dos Direitos da Criança”, a 2 de Setembro de 1990</w:t>
      </w:r>
      <w:r w:rsidRPr="00E812BC">
        <w:t>.</w:t>
      </w:r>
    </w:p>
  </w:footnote>
  <w:footnote w:id="2">
    <w:p w:rsidR="00467F0A" w:rsidRPr="00E812BC" w:rsidRDefault="00467F0A" w:rsidP="00467F0A">
      <w:pPr>
        <w:spacing w:line="360" w:lineRule="auto"/>
        <w:ind w:firstLine="567"/>
        <w:jc w:val="both"/>
      </w:pPr>
      <w:r w:rsidRPr="006B623A">
        <w:rPr>
          <w:rStyle w:val="Refdenotaderodap"/>
          <w:sz w:val="24"/>
        </w:rPr>
        <w:footnoteRef/>
      </w:r>
      <w:r w:rsidRPr="00E812BC">
        <w:t xml:space="preserve"> Para maior desenvolvimento, advogando restriç</w:t>
      </w:r>
      <w:r>
        <w:t>ões</w:t>
      </w:r>
      <w:r w:rsidRPr="00E812BC">
        <w:t xml:space="preserve"> “</w:t>
      </w:r>
      <w:r>
        <w:t>excepcionais</w:t>
      </w:r>
      <w:r w:rsidRPr="00E812BC">
        <w:t>”</w:t>
      </w:r>
      <w:r>
        <w:t xml:space="preserve"> à liberdade de expressão, em caso de incitação ao ódio, que cause danos irreparáveis, JEREMY WALDRON, </w:t>
      </w:r>
      <w:r w:rsidRPr="00E812BC">
        <w:rPr>
          <w:i/>
        </w:rPr>
        <w:t>The Harm in Hate Speech</w:t>
      </w:r>
      <w:r>
        <w:t>, Cambridge, Mass.: Harvard University Press, 2012</w:t>
      </w:r>
      <w:r w:rsidRPr="00E812BC">
        <w:t>.</w:t>
      </w:r>
    </w:p>
  </w:footnote>
  <w:footnote w:id="3">
    <w:p w:rsidR="004C4EF6" w:rsidRPr="0039649A" w:rsidRDefault="004C4EF6" w:rsidP="004C4EF6">
      <w:pPr>
        <w:spacing w:line="360" w:lineRule="auto"/>
        <w:ind w:firstLine="567"/>
        <w:jc w:val="both"/>
        <w:rPr>
          <w:lang w:val="en-GB"/>
        </w:rPr>
      </w:pPr>
      <w:r w:rsidRPr="006B623A">
        <w:rPr>
          <w:rStyle w:val="Refdenotaderodap"/>
          <w:sz w:val="24"/>
        </w:rPr>
        <w:footnoteRef/>
      </w:r>
      <w:r w:rsidRPr="006B623A">
        <w:rPr>
          <w:lang w:val="en-US"/>
        </w:rPr>
        <w:t xml:space="preserve"> CASS R. SUNSTEIN, </w:t>
      </w:r>
      <w:r w:rsidRPr="006B623A">
        <w:rPr>
          <w:i/>
          <w:lang w:val="en-US"/>
        </w:rPr>
        <w:t>Republic com</w:t>
      </w:r>
      <w:r w:rsidRPr="006B623A">
        <w:rPr>
          <w:lang w:val="en-US"/>
        </w:rPr>
        <w:t>, Princeton: Princeton University Press, 2001, pp. 128 ss</w:t>
      </w:r>
      <w:r w:rsidRPr="0039649A">
        <w:rPr>
          <w:lang w:val="en-GB"/>
        </w:rPr>
        <w:t>.</w:t>
      </w:r>
    </w:p>
  </w:footnote>
  <w:footnote w:id="4">
    <w:p w:rsidR="004C4EF6" w:rsidRPr="00F103BC" w:rsidRDefault="004C4EF6" w:rsidP="004C4EF6">
      <w:pPr>
        <w:spacing w:line="360" w:lineRule="auto"/>
        <w:ind w:firstLine="567"/>
        <w:jc w:val="both"/>
      </w:pPr>
      <w:r w:rsidRPr="006B623A">
        <w:rPr>
          <w:rStyle w:val="Refdenotaderodap"/>
          <w:sz w:val="24"/>
        </w:rPr>
        <w:footnoteRef/>
      </w:r>
      <w:r w:rsidRPr="00723A91">
        <w:t xml:space="preserve"> </w:t>
      </w:r>
      <w:r w:rsidR="00606AEE">
        <w:t>Cfr., artigo 26º/1 da Constituição</w:t>
      </w:r>
      <w:r>
        <w:t>, que inclui ainda um “direito à protecção legal</w:t>
      </w:r>
      <w:r w:rsidR="00467F0A">
        <w:t>”</w:t>
      </w:r>
      <w:r>
        <w:t xml:space="preserve"> “contra quaisquer formas de discriminação”</w:t>
      </w:r>
      <w:r w:rsidRPr="00F103BC">
        <w:t xml:space="preserve">. </w:t>
      </w:r>
    </w:p>
  </w:footnote>
  <w:footnote w:id="5">
    <w:p w:rsidR="004C4EF6" w:rsidRPr="00F103BC" w:rsidRDefault="004C4EF6" w:rsidP="004C4EF6">
      <w:pPr>
        <w:spacing w:line="360" w:lineRule="auto"/>
        <w:ind w:firstLine="567"/>
        <w:jc w:val="both"/>
      </w:pPr>
      <w:r w:rsidRPr="006B623A">
        <w:rPr>
          <w:rStyle w:val="Refdenotaderodap"/>
          <w:sz w:val="24"/>
        </w:rPr>
        <w:footnoteRef/>
      </w:r>
      <w:r w:rsidRPr="00723A91">
        <w:t xml:space="preserve"> </w:t>
      </w:r>
      <w:r>
        <w:t>Cfr., artigo 69º da CRP</w:t>
      </w:r>
      <w:r w:rsidRPr="00F103BC">
        <w:t xml:space="preserve">. </w:t>
      </w:r>
    </w:p>
  </w:footnote>
  <w:footnote w:id="6">
    <w:p w:rsidR="004C4EF6" w:rsidRPr="00F103BC" w:rsidRDefault="004C4EF6" w:rsidP="004C4EF6">
      <w:pPr>
        <w:spacing w:line="360" w:lineRule="auto"/>
        <w:ind w:firstLine="567"/>
        <w:jc w:val="both"/>
      </w:pPr>
      <w:r w:rsidRPr="006B623A">
        <w:rPr>
          <w:rStyle w:val="Refdenotaderodap"/>
          <w:sz w:val="24"/>
        </w:rPr>
        <w:footnoteRef/>
      </w:r>
      <w:r w:rsidRPr="00723A91">
        <w:t xml:space="preserve"> </w:t>
      </w:r>
      <w:r>
        <w:t>Cfr., artigos 67º e 68º da CRP</w:t>
      </w:r>
      <w:r w:rsidRPr="00F103BC">
        <w:t xml:space="preserve">. </w:t>
      </w:r>
    </w:p>
  </w:footnote>
  <w:footnote w:id="7">
    <w:p w:rsidR="004C4EF6" w:rsidRPr="004C4EF6" w:rsidRDefault="004C4EF6" w:rsidP="004C4EF6">
      <w:pPr>
        <w:spacing w:line="360" w:lineRule="auto"/>
        <w:ind w:firstLine="567"/>
        <w:jc w:val="both"/>
      </w:pPr>
      <w:r w:rsidRPr="003421AB">
        <w:rPr>
          <w:rStyle w:val="Refdenotaderodap"/>
          <w:sz w:val="24"/>
        </w:rPr>
        <w:footnoteRef/>
      </w:r>
      <w:r w:rsidRPr="003421AB">
        <w:t xml:space="preserve"> Na terminologia de GUNTHER TEUBNER, </w:t>
      </w:r>
      <w:r w:rsidRPr="003421AB">
        <w:rPr>
          <w:i/>
        </w:rPr>
        <w:t xml:space="preserve">Verfassungsfragmente. </w:t>
      </w:r>
      <w:r w:rsidRPr="004C4EF6">
        <w:rPr>
          <w:i/>
        </w:rPr>
        <w:t>Gesells-chaftlicher Konstitutionalismus in der Globalisierung</w:t>
      </w:r>
      <w:r w:rsidRPr="004C4EF6">
        <w:t xml:space="preserve">, Berlim, 2012, entre outros. </w:t>
      </w:r>
    </w:p>
  </w:footnote>
  <w:footnote w:id="8">
    <w:p w:rsidR="004C4EF6" w:rsidRPr="0032033E" w:rsidRDefault="004C4EF6" w:rsidP="004C4EF6">
      <w:pPr>
        <w:spacing w:line="360" w:lineRule="auto"/>
        <w:ind w:firstLine="567"/>
        <w:jc w:val="both"/>
      </w:pPr>
      <w:r w:rsidRPr="003421AB">
        <w:rPr>
          <w:rStyle w:val="Refdenotaderodap"/>
          <w:sz w:val="24"/>
        </w:rPr>
        <w:footnoteRef/>
      </w:r>
      <w:r w:rsidRPr="003421AB">
        <w:t xml:space="preserve"> Como, por exemplo,</w:t>
      </w:r>
      <w:r w:rsidR="00606AEE">
        <w:t xml:space="preserve"> o disposto no artigo 35º da Constituição</w:t>
      </w:r>
      <w:r w:rsidRPr="003421AB">
        <w:t>, sob a epígrafe de “utilização da informática”. Para maior desenvolvimento</w:t>
      </w:r>
      <w:r>
        <w:t>, do ponto de vista da pro</w:t>
      </w:r>
      <w:r w:rsidR="00606AEE">
        <w:t>-tecção cons</w:t>
      </w:r>
      <w:r>
        <w:t>titucional da recolha e tratamento de dados pessoais automatizados</w:t>
      </w:r>
      <w:r w:rsidRPr="003421AB">
        <w:t>, CRIS</w:t>
      </w:r>
      <w:r w:rsidR="00606AEE">
        <w:t>-</w:t>
      </w:r>
      <w:r w:rsidR="003C3640">
        <w:t>TINA QUEi</w:t>
      </w:r>
      <w:r w:rsidRPr="003421AB">
        <w:t xml:space="preserve">ROZ, </w:t>
      </w:r>
      <w:r w:rsidRPr="0032033E">
        <w:rPr>
          <w:i/>
        </w:rPr>
        <w:t>A protecção constitucional da recolha e tratamento de dados pes</w:t>
      </w:r>
      <w:r w:rsidR="003C3640">
        <w:rPr>
          <w:i/>
        </w:rPr>
        <w:t>-</w:t>
      </w:r>
      <w:r w:rsidRPr="0032033E">
        <w:rPr>
          <w:i/>
        </w:rPr>
        <w:t>soais automatizados</w:t>
      </w:r>
      <w:r w:rsidRPr="003421AB">
        <w:t>, in: “Homenagem da Faculdade de Direito de Lisboa ao Professor Doutor Inocêncio Galvão Telles ― 90 Anos”, Faculdade de Direito da Universidade de Lisboa: Almedina, 2007, pp. 291 ss</w:t>
      </w:r>
      <w:r w:rsidRPr="0032033E">
        <w:t xml:space="preserve">. </w:t>
      </w:r>
    </w:p>
  </w:footnote>
  <w:footnote w:id="9">
    <w:p w:rsidR="004C4EF6" w:rsidRPr="0032033E" w:rsidRDefault="004C4EF6" w:rsidP="004C4EF6">
      <w:pPr>
        <w:spacing w:line="360" w:lineRule="auto"/>
        <w:ind w:firstLine="567"/>
        <w:jc w:val="both"/>
      </w:pPr>
      <w:r w:rsidRPr="006B623A">
        <w:rPr>
          <w:rStyle w:val="Refdenotaderodap"/>
          <w:sz w:val="24"/>
        </w:rPr>
        <w:footnoteRef/>
      </w:r>
      <w:r w:rsidRPr="0032033E">
        <w:t xml:space="preserve"> A este propósito, leia-se</w:t>
      </w:r>
      <w:r>
        <w:t>,</w:t>
      </w:r>
      <w:r w:rsidRPr="0032033E">
        <w:t xml:space="preserve"> com proveito</w:t>
      </w:r>
      <w:r>
        <w:t>,</w:t>
      </w:r>
      <w:r w:rsidRPr="0032033E">
        <w:t xml:space="preserve"> o estudo de FRANCINE PROSE, </w:t>
      </w:r>
      <w:r w:rsidRPr="0032033E">
        <w:rPr>
          <w:i/>
        </w:rPr>
        <w:t>Nazi Propaganda: Out of the Cage</w:t>
      </w:r>
      <w:r w:rsidRPr="0032033E">
        <w:t xml:space="preserve">, in: “New York Review of Books”, de 12 de Junho de 2015. </w:t>
      </w:r>
    </w:p>
  </w:footnote>
  <w:footnote w:id="10">
    <w:p w:rsidR="004C4EF6" w:rsidRPr="0030783A" w:rsidRDefault="004C4EF6" w:rsidP="004C4EF6">
      <w:pPr>
        <w:spacing w:line="360" w:lineRule="auto"/>
        <w:ind w:firstLine="567"/>
        <w:jc w:val="both"/>
      </w:pPr>
      <w:r w:rsidRPr="006B623A">
        <w:rPr>
          <w:rStyle w:val="Refdenotaderodap"/>
          <w:sz w:val="24"/>
        </w:rPr>
        <w:footnoteRef/>
      </w:r>
      <w:r>
        <w:t xml:space="preserve"> Cfr., Acórdão do TJUE, Grande Secção, de 13 de Março de 2014 (Processo C-131/12</w:t>
      </w:r>
      <w:r w:rsidRPr="006028FF">
        <w:rPr>
          <w:i/>
        </w:rPr>
        <w:t>, Google Spain,</w:t>
      </w:r>
      <w:r>
        <w:rPr>
          <w:i/>
        </w:rPr>
        <w:t xml:space="preserve"> </w:t>
      </w:r>
      <w:r w:rsidRPr="006028FF">
        <w:rPr>
          <w:i/>
        </w:rPr>
        <w:t>SL, Google Inc. vs. Agência Espanhola de Protecção de Dados e Mario Costeja González</w:t>
      </w:r>
      <w:r>
        <w:t xml:space="preserve">).  </w:t>
      </w:r>
    </w:p>
  </w:footnote>
  <w:footnote w:id="11">
    <w:p w:rsidR="004C4EF6" w:rsidRPr="0030783A" w:rsidRDefault="004C4EF6" w:rsidP="004C4EF6">
      <w:pPr>
        <w:spacing w:line="360" w:lineRule="auto"/>
        <w:ind w:firstLine="567"/>
        <w:jc w:val="both"/>
      </w:pPr>
      <w:r w:rsidRPr="006B623A">
        <w:rPr>
          <w:rStyle w:val="Refdenotaderodap"/>
          <w:sz w:val="24"/>
        </w:rPr>
        <w:footnoteRef/>
      </w:r>
      <w:r>
        <w:t xml:space="preserve"> Cfr., Acórdão do TJUE, Grande Secção, de 6 de Outubro de 2015 (Processo C-362/14</w:t>
      </w:r>
      <w:r w:rsidRPr="006028FF">
        <w:rPr>
          <w:i/>
        </w:rPr>
        <w:t xml:space="preserve">, </w:t>
      </w:r>
      <w:r>
        <w:rPr>
          <w:i/>
        </w:rPr>
        <w:t xml:space="preserve">Maximilian Schrems v. Autoridade de Protecção de Dados, com intervenção do Digital Rights Irland, Ltd).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F6"/>
    <w:rsid w:val="000163AC"/>
    <w:rsid w:val="000719FF"/>
    <w:rsid w:val="000B720C"/>
    <w:rsid w:val="002028BE"/>
    <w:rsid w:val="00205781"/>
    <w:rsid w:val="0021611C"/>
    <w:rsid w:val="002400A9"/>
    <w:rsid w:val="002C4D2F"/>
    <w:rsid w:val="00353722"/>
    <w:rsid w:val="003B7063"/>
    <w:rsid w:val="003C3640"/>
    <w:rsid w:val="00442A84"/>
    <w:rsid w:val="00467F0A"/>
    <w:rsid w:val="00475BA5"/>
    <w:rsid w:val="0049401A"/>
    <w:rsid w:val="004C4EF6"/>
    <w:rsid w:val="0055389A"/>
    <w:rsid w:val="005569F2"/>
    <w:rsid w:val="00606AEE"/>
    <w:rsid w:val="00636653"/>
    <w:rsid w:val="006675E4"/>
    <w:rsid w:val="007F6162"/>
    <w:rsid w:val="00816471"/>
    <w:rsid w:val="009A7DC1"/>
    <w:rsid w:val="00A52885"/>
    <w:rsid w:val="00AC3184"/>
    <w:rsid w:val="00AC3899"/>
    <w:rsid w:val="00AD2B93"/>
    <w:rsid w:val="00B90610"/>
    <w:rsid w:val="00C84681"/>
    <w:rsid w:val="00CB3EE1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E72DB-FD77-4543-ABA1-CD419FDA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4C4EF6"/>
    <w:rPr>
      <w:position w:val="6"/>
      <w:sz w:val="16"/>
    </w:rPr>
  </w:style>
  <w:style w:type="paragraph" w:styleId="Rodap">
    <w:name w:val="footer"/>
    <w:basedOn w:val="Normal"/>
    <w:link w:val="RodapCarter"/>
    <w:uiPriority w:val="99"/>
    <w:unhideWhenUsed/>
    <w:rsid w:val="004C4EF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C4EF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9061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0610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2288</Words>
  <Characters>12358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cqueiroz</dc:creator>
  <cp:lastModifiedBy>Dra. Maria José Parreira</cp:lastModifiedBy>
  <cp:revision>2</cp:revision>
  <dcterms:created xsi:type="dcterms:W3CDTF">2016-06-06T08:42:00Z</dcterms:created>
  <dcterms:modified xsi:type="dcterms:W3CDTF">2016-06-06T08:42:00Z</dcterms:modified>
</cp:coreProperties>
</file>