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62335A" w:rsidRDefault="00F62465" w:rsidP="008A0F05">
      <w:pPr>
        <w:spacing w:line="360" w:lineRule="auto"/>
        <w:ind w:firstLine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>JUSTINO FELIZBERTO JUSTINO</w:t>
      </w:r>
    </w:p>
    <w:p w:rsidR="0062335A" w:rsidRDefault="0062335A">
      <w:pPr>
        <w:spacing w:line="360" w:lineRule="auto"/>
        <w:ind w:firstLine="624"/>
        <w:jc w:val="both"/>
        <w:rPr>
          <w:sz w:val="28"/>
          <w:szCs w:val="28"/>
        </w:rPr>
      </w:pPr>
    </w:p>
    <w:p w:rsidR="00CB1589" w:rsidRDefault="00440B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Apreciação da dissertação de Doutoramento do Mestre </w:t>
      </w:r>
      <w:r w:rsidR="00CB1589">
        <w:rPr>
          <w:sz w:val="28"/>
          <w:szCs w:val="28"/>
        </w:rPr>
        <w:t>Justino Fe</w:t>
      </w:r>
      <w:r w:rsidR="00F62465">
        <w:rPr>
          <w:sz w:val="28"/>
          <w:szCs w:val="28"/>
        </w:rPr>
        <w:t>-</w:t>
      </w:r>
      <w:r w:rsidR="00CB1589">
        <w:rPr>
          <w:sz w:val="28"/>
          <w:szCs w:val="28"/>
        </w:rPr>
        <w:t>lizberto Justino</w:t>
      </w:r>
      <w:r>
        <w:rPr>
          <w:sz w:val="28"/>
          <w:szCs w:val="28"/>
        </w:rPr>
        <w:t>, intitulada “</w:t>
      </w:r>
      <w:r w:rsidR="00CB1589">
        <w:rPr>
          <w:sz w:val="28"/>
          <w:szCs w:val="28"/>
        </w:rPr>
        <w:t>O regime jurídico do acesso de indivíduos à justiça constitucional moçambicana, em fiscalização concreta, à luz da Constituição</w:t>
      </w:r>
      <w:r w:rsidR="000428A2">
        <w:rPr>
          <w:sz w:val="28"/>
          <w:szCs w:val="28"/>
        </w:rPr>
        <w:t xml:space="preserve"> de 2004”</w:t>
      </w:r>
    </w:p>
    <w:p w:rsidR="0062335A" w:rsidRPr="00C1174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C1174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C1174A" w:rsidRDefault="00440BE8" w:rsidP="000428A2">
      <w:pPr>
        <w:spacing w:line="360" w:lineRule="auto"/>
        <w:ind w:firstLine="3544"/>
        <w:jc w:val="both"/>
        <w:rPr>
          <w:sz w:val="28"/>
          <w:szCs w:val="28"/>
        </w:rPr>
      </w:pPr>
      <w:r w:rsidRPr="00C1174A">
        <w:rPr>
          <w:sz w:val="28"/>
          <w:szCs w:val="28"/>
        </w:rPr>
        <w:t>Cristina M. M. Queiroz</w:t>
      </w:r>
    </w:p>
    <w:p w:rsidR="0062335A" w:rsidRPr="00C1174A" w:rsidRDefault="006233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335A" w:rsidRPr="00C1174A" w:rsidRDefault="0062335A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62335A" w:rsidRPr="00C1174A" w:rsidRDefault="0062335A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62335A" w:rsidRPr="00C1174A" w:rsidRDefault="0062335A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62335A" w:rsidRPr="00C1174A" w:rsidRDefault="0062335A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62335A" w:rsidRPr="00C1174A" w:rsidRDefault="0062335A">
      <w:pPr>
        <w:tabs>
          <w:tab w:val="left" w:pos="1800"/>
        </w:tabs>
        <w:spacing w:line="360" w:lineRule="auto"/>
        <w:ind w:firstLine="1440"/>
        <w:jc w:val="both"/>
        <w:rPr>
          <w:sz w:val="28"/>
          <w:szCs w:val="28"/>
        </w:rPr>
      </w:pPr>
    </w:p>
    <w:p w:rsidR="0062335A" w:rsidRDefault="00440BE8" w:rsidP="000428A2">
      <w:pPr>
        <w:tabs>
          <w:tab w:val="left" w:pos="1800"/>
        </w:tabs>
        <w:spacing w:line="360" w:lineRule="auto"/>
        <w:ind w:firstLine="2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Faculdade de Direito</w:t>
      </w:r>
    </w:p>
    <w:p w:rsidR="0062335A" w:rsidRDefault="0062335A">
      <w:pPr>
        <w:tabs>
          <w:tab w:val="left" w:pos="1800"/>
        </w:tabs>
        <w:spacing w:line="360" w:lineRule="auto"/>
        <w:ind w:firstLine="2552"/>
        <w:jc w:val="both"/>
        <w:rPr>
          <w:b/>
          <w:sz w:val="28"/>
          <w:szCs w:val="28"/>
        </w:rPr>
      </w:pPr>
    </w:p>
    <w:p w:rsidR="0062335A" w:rsidRDefault="00440BE8" w:rsidP="000428A2">
      <w:pPr>
        <w:tabs>
          <w:tab w:val="left" w:pos="1800"/>
        </w:tabs>
        <w:spacing w:line="360" w:lineRule="auto"/>
        <w:ind w:firstLine="25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Universidade do Porto</w:t>
      </w:r>
    </w:p>
    <w:p w:rsidR="0062335A" w:rsidRDefault="0062335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2335A" w:rsidRDefault="00CB1589" w:rsidP="000428A2">
      <w:pPr>
        <w:tabs>
          <w:tab w:val="left" w:pos="3600"/>
        </w:tabs>
        <w:spacing w:line="360" w:lineRule="auto"/>
        <w:ind w:firstLine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62335A" w:rsidRDefault="00440BE8">
      <w:pPr>
        <w:spacing w:after="160" w:line="259" w:lineRule="auto"/>
        <w:rPr>
          <w:sz w:val="28"/>
          <w:szCs w:val="28"/>
        </w:rPr>
      </w:pPr>
      <w:r>
        <w:br w:type="page"/>
      </w:r>
    </w:p>
    <w:p w:rsidR="000B32BA" w:rsidRDefault="000B32BA">
      <w:pPr>
        <w:spacing w:line="360" w:lineRule="auto"/>
        <w:ind w:firstLine="2835"/>
        <w:jc w:val="both"/>
        <w:rPr>
          <w:b/>
          <w:sz w:val="28"/>
          <w:szCs w:val="28"/>
        </w:rPr>
      </w:pPr>
    </w:p>
    <w:p w:rsidR="00214550" w:rsidRDefault="00214550">
      <w:pPr>
        <w:spacing w:line="360" w:lineRule="auto"/>
        <w:ind w:firstLine="2835"/>
        <w:jc w:val="both"/>
        <w:rPr>
          <w:b/>
          <w:sz w:val="28"/>
          <w:szCs w:val="28"/>
        </w:rPr>
      </w:pPr>
    </w:p>
    <w:p w:rsidR="000B32BA" w:rsidRDefault="000B32BA">
      <w:pPr>
        <w:spacing w:line="360" w:lineRule="auto"/>
        <w:ind w:firstLine="2835"/>
        <w:jc w:val="both"/>
        <w:rPr>
          <w:b/>
          <w:sz w:val="28"/>
          <w:szCs w:val="28"/>
        </w:rPr>
      </w:pPr>
    </w:p>
    <w:p w:rsidR="000B32BA" w:rsidRDefault="000B32BA">
      <w:pPr>
        <w:spacing w:line="360" w:lineRule="auto"/>
        <w:ind w:firstLine="2835"/>
        <w:jc w:val="both"/>
        <w:rPr>
          <w:b/>
          <w:sz w:val="28"/>
          <w:szCs w:val="28"/>
        </w:rPr>
      </w:pPr>
    </w:p>
    <w:p w:rsidR="0062335A" w:rsidRPr="000B32BA" w:rsidRDefault="00440BE8">
      <w:pPr>
        <w:spacing w:line="360" w:lineRule="auto"/>
        <w:ind w:firstLine="2835"/>
        <w:jc w:val="both"/>
        <w:rPr>
          <w:b/>
          <w:sz w:val="28"/>
          <w:szCs w:val="28"/>
        </w:rPr>
      </w:pPr>
      <w:r w:rsidRPr="000B32BA">
        <w:rPr>
          <w:b/>
          <w:sz w:val="28"/>
          <w:szCs w:val="28"/>
        </w:rPr>
        <w:t>SUMÁRIO</w:t>
      </w:r>
    </w:p>
    <w:p w:rsidR="0062335A" w:rsidRPr="000B32BA" w:rsidRDefault="0062335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I. Currículo Académico</w:t>
      </w: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II. Dissertação</w:t>
      </w:r>
    </w:p>
    <w:p w:rsidR="0062335A" w:rsidRPr="000B32BA" w:rsidRDefault="00440BE8">
      <w:pPr>
        <w:spacing w:line="360" w:lineRule="auto"/>
        <w:ind w:firstLine="993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A) Metodologia e estrutura</w:t>
      </w:r>
    </w:p>
    <w:p w:rsidR="006764F6" w:rsidRPr="000B32BA" w:rsidRDefault="006764F6" w:rsidP="00C64A63">
      <w:pPr>
        <w:spacing w:line="360" w:lineRule="auto"/>
        <w:ind w:left="426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B) Conceitos de Partida. A questão das “restrições” a Direitos Fundamentais. Em particular, do Direito de acesso à Justiça e aos Tribunais</w:t>
      </w:r>
    </w:p>
    <w:p w:rsidR="006764F6" w:rsidRPr="000B32BA" w:rsidRDefault="006764F6" w:rsidP="000B32BA">
      <w:pPr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C) O Pr</w:t>
      </w:r>
      <w:r w:rsidR="000428A2" w:rsidRPr="000B32BA">
        <w:rPr>
          <w:sz w:val="28"/>
          <w:szCs w:val="28"/>
        </w:rPr>
        <w:t>incípio da Dignidade da Pessoa H</w:t>
      </w:r>
      <w:r w:rsidRPr="000B32BA">
        <w:rPr>
          <w:sz w:val="28"/>
          <w:szCs w:val="28"/>
        </w:rPr>
        <w:t>umana com</w:t>
      </w:r>
      <w:r w:rsidR="00C64A63" w:rsidRPr="000B32BA">
        <w:rPr>
          <w:sz w:val="28"/>
          <w:szCs w:val="28"/>
        </w:rPr>
        <w:t>o valor</w:t>
      </w:r>
      <w:r w:rsidR="00F62465" w:rsidRPr="000B32BA">
        <w:rPr>
          <w:sz w:val="28"/>
          <w:szCs w:val="28"/>
        </w:rPr>
        <w:t xml:space="preserve"> constitucional</w:t>
      </w:r>
      <w:r w:rsidR="00C64A63" w:rsidRPr="000B32BA">
        <w:rPr>
          <w:sz w:val="28"/>
          <w:szCs w:val="28"/>
        </w:rPr>
        <w:t xml:space="preserve"> e Direito Fundamental, </w:t>
      </w:r>
      <w:r w:rsidR="00C64A63" w:rsidRPr="000B32BA">
        <w:rPr>
          <w:i/>
          <w:sz w:val="28"/>
          <w:szCs w:val="28"/>
        </w:rPr>
        <w:t>r</w:t>
      </w:r>
      <w:r w:rsidRPr="000B32BA">
        <w:rPr>
          <w:i/>
          <w:sz w:val="28"/>
          <w:szCs w:val="28"/>
        </w:rPr>
        <w:t>ectius</w:t>
      </w:r>
      <w:r w:rsidRPr="000B32BA">
        <w:rPr>
          <w:sz w:val="28"/>
          <w:szCs w:val="28"/>
        </w:rPr>
        <w:t xml:space="preserve"> Constitucional</w:t>
      </w:r>
    </w:p>
    <w:p w:rsidR="006764F6" w:rsidRPr="000B32BA" w:rsidRDefault="006764F6" w:rsidP="000B32BA">
      <w:pPr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D) A construção de uma ordem jurídica “multinível”</w:t>
      </w:r>
    </w:p>
    <w:p w:rsidR="006764F6" w:rsidRPr="000B32BA" w:rsidRDefault="006764F6" w:rsidP="000B32BA">
      <w:pPr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E) Autoridade e execução das sentenças do </w:t>
      </w:r>
      <w:r w:rsid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>selho Consti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tucional</w:t>
      </w:r>
    </w:p>
    <w:p w:rsidR="006764F6" w:rsidRPr="000B32BA" w:rsidRDefault="006764F6" w:rsidP="000B32BA">
      <w:pPr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F) Defesa e garantia da Constituição</w:t>
      </w:r>
    </w:p>
    <w:p w:rsidR="005B7688" w:rsidRPr="000B32BA" w:rsidRDefault="005B7688" w:rsidP="000B32BA">
      <w:pPr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G) “A querela doutrinária sobre as divergências entre as n</w:t>
      </w:r>
      <w:r w:rsidR="001A65AC" w:rsidRPr="000B32BA">
        <w:rPr>
          <w:sz w:val="28"/>
          <w:szCs w:val="28"/>
        </w:rPr>
        <w:t>ormas constitucionais escritas”</w:t>
      </w:r>
    </w:p>
    <w:p w:rsidR="00795044" w:rsidRPr="000B32BA" w:rsidRDefault="00795044" w:rsidP="000B32BA">
      <w:pPr>
        <w:pStyle w:val="PargrafodaLista"/>
        <w:spacing w:line="360" w:lineRule="auto"/>
        <w:ind w:left="284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I) </w:t>
      </w:r>
      <w:r w:rsidR="00A578A3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 xml:space="preserve">A necessidade de conformação do regime de acesso </w:t>
      </w:r>
      <w:r w:rsidR="008A0F05">
        <w:rPr>
          <w:sz w:val="28"/>
          <w:szCs w:val="28"/>
        </w:rPr>
        <w:t>ju</w:t>
      </w:r>
      <w:r w:rsidR="000B32BA">
        <w:rPr>
          <w:sz w:val="28"/>
          <w:szCs w:val="28"/>
        </w:rPr>
        <w:t>ris-</w:t>
      </w:r>
      <w:r w:rsidRPr="000B32BA">
        <w:rPr>
          <w:sz w:val="28"/>
          <w:szCs w:val="28"/>
        </w:rPr>
        <w:t xml:space="preserve">dicional aos </w:t>
      </w:r>
      <w:r w:rsidR="000B32BA">
        <w:rPr>
          <w:sz w:val="28"/>
          <w:szCs w:val="28"/>
        </w:rPr>
        <w:t>princípios da constitucionalida</w:t>
      </w:r>
      <w:r w:rsidRPr="000B32BA">
        <w:rPr>
          <w:sz w:val="28"/>
          <w:szCs w:val="28"/>
        </w:rPr>
        <w:t>de e da aplicabilidade directa dos direitos fundamentais</w:t>
      </w:r>
      <w:r w:rsidR="00A578A3" w:rsidRPr="000B32BA">
        <w:rPr>
          <w:sz w:val="28"/>
          <w:szCs w:val="28"/>
        </w:rPr>
        <w:t>”</w:t>
      </w:r>
    </w:p>
    <w:p w:rsidR="00795044" w:rsidRPr="000B32BA" w:rsidRDefault="00440BE8" w:rsidP="00A578A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32BA">
        <w:rPr>
          <w:sz w:val="28"/>
          <w:szCs w:val="28"/>
        </w:rPr>
        <w:t>III. Apreciação final</w:t>
      </w:r>
    </w:p>
    <w:p w:rsidR="000B32BA" w:rsidRDefault="000B32BA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6CA0" w:rsidRPr="000B32BA" w:rsidRDefault="00256CA0" w:rsidP="000B32BA">
      <w:pPr>
        <w:spacing w:line="360" w:lineRule="auto"/>
        <w:jc w:val="both"/>
        <w:rPr>
          <w:b/>
          <w:sz w:val="28"/>
          <w:szCs w:val="28"/>
        </w:rPr>
      </w:pPr>
    </w:p>
    <w:p w:rsidR="00A578A3" w:rsidRPr="000B32BA" w:rsidRDefault="00A578A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32BA">
        <w:rPr>
          <w:b/>
          <w:sz w:val="28"/>
          <w:szCs w:val="28"/>
        </w:rPr>
        <w:t>I. Currículo Académico</w:t>
      </w:r>
    </w:p>
    <w:p w:rsidR="0062335A" w:rsidRPr="000B32BA" w:rsidRDefault="0062335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F60230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O Mestre </w:t>
      </w:r>
      <w:r w:rsidR="00F60230" w:rsidRPr="000B32BA">
        <w:rPr>
          <w:sz w:val="28"/>
          <w:szCs w:val="28"/>
        </w:rPr>
        <w:t xml:space="preserve">Justino Felizberto Justino </w:t>
      </w:r>
      <w:r w:rsidRPr="000B32BA">
        <w:rPr>
          <w:sz w:val="28"/>
          <w:szCs w:val="28"/>
        </w:rPr>
        <w:t xml:space="preserve">é docente </w:t>
      </w:r>
      <w:r w:rsidR="00F60230" w:rsidRPr="000B32BA">
        <w:rPr>
          <w:sz w:val="28"/>
          <w:szCs w:val="28"/>
        </w:rPr>
        <w:t>da Universidade Zambeze</w:t>
      </w:r>
      <w:r w:rsidR="002F2B8D" w:rsidRPr="000B32BA">
        <w:rPr>
          <w:sz w:val="28"/>
          <w:szCs w:val="28"/>
        </w:rPr>
        <w:t xml:space="preserve"> (Unizambeze)</w:t>
      </w:r>
      <w:r w:rsidR="00F60230" w:rsidRPr="000B32BA">
        <w:rPr>
          <w:sz w:val="28"/>
          <w:szCs w:val="28"/>
        </w:rPr>
        <w:t xml:space="preserve">, Beira, </w:t>
      </w:r>
      <w:r w:rsidR="00FC5821" w:rsidRPr="000B32BA">
        <w:rPr>
          <w:sz w:val="28"/>
          <w:szCs w:val="28"/>
        </w:rPr>
        <w:t xml:space="preserve">República de </w:t>
      </w:r>
      <w:r w:rsidR="00F60230" w:rsidRPr="000B32BA">
        <w:rPr>
          <w:sz w:val="28"/>
          <w:szCs w:val="28"/>
        </w:rPr>
        <w:t xml:space="preserve">Moçambique. </w:t>
      </w:r>
    </w:p>
    <w:p w:rsidR="00F60230" w:rsidRPr="000B32BA" w:rsidRDefault="00F60230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Exerce ainda </w:t>
      </w:r>
      <w:r w:rsidR="00FC5821" w:rsidRPr="000B32BA">
        <w:rPr>
          <w:sz w:val="28"/>
          <w:szCs w:val="28"/>
        </w:rPr>
        <w:t xml:space="preserve">funções de </w:t>
      </w:r>
      <w:r w:rsidRPr="000B32BA">
        <w:rPr>
          <w:sz w:val="28"/>
          <w:szCs w:val="28"/>
        </w:rPr>
        <w:t>Adv</w:t>
      </w:r>
      <w:r w:rsidR="00FC5821" w:rsidRPr="000B32BA">
        <w:rPr>
          <w:sz w:val="28"/>
          <w:szCs w:val="28"/>
        </w:rPr>
        <w:t>ogado, inscrito na Ordem dos Ad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vogados de Moçambiq</w:t>
      </w:r>
      <w:r w:rsidR="00FC5821" w:rsidRPr="000B32BA">
        <w:rPr>
          <w:sz w:val="28"/>
          <w:szCs w:val="28"/>
        </w:rPr>
        <w:t>ue, e assessor jurídico do Exce</w:t>
      </w:r>
      <w:r w:rsidRPr="000B32BA">
        <w:rPr>
          <w:sz w:val="28"/>
          <w:szCs w:val="28"/>
        </w:rPr>
        <w:t xml:space="preserve">lentíssimo Reitor da Universidade Zambeze, Beira, </w:t>
      </w:r>
      <w:r w:rsidR="00FC5821" w:rsidRPr="000B32BA">
        <w:rPr>
          <w:sz w:val="28"/>
          <w:szCs w:val="28"/>
        </w:rPr>
        <w:t>República de Mo</w:t>
      </w:r>
      <w:r w:rsidRPr="000B32BA">
        <w:rPr>
          <w:sz w:val="28"/>
          <w:szCs w:val="28"/>
        </w:rPr>
        <w:t>çambique.</w:t>
      </w:r>
    </w:p>
    <w:p w:rsidR="00F60230" w:rsidRPr="000B32BA" w:rsidRDefault="0066256C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sua língua materna é Xitswa, não a língua portuguesa.</w:t>
      </w:r>
    </w:p>
    <w:p w:rsidR="00A578A3" w:rsidRDefault="0066256C" w:rsidP="000B32B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Como informação adicional </w:t>
      </w:r>
      <w:r w:rsidR="000428A2" w:rsidRPr="000B32BA">
        <w:rPr>
          <w:sz w:val="28"/>
          <w:szCs w:val="28"/>
        </w:rPr>
        <w:t xml:space="preserve">o candidato </w:t>
      </w:r>
      <w:r w:rsidRPr="000B32BA">
        <w:rPr>
          <w:sz w:val="28"/>
          <w:szCs w:val="28"/>
        </w:rPr>
        <w:t>apresenta um conjunto de publicações e artigos científicos, parti</w:t>
      </w:r>
      <w:r w:rsidR="00BA0152" w:rsidRPr="000B32BA">
        <w:rPr>
          <w:sz w:val="28"/>
          <w:szCs w:val="28"/>
        </w:rPr>
        <w:t>cipação em seminários e palestra</w:t>
      </w:r>
      <w:r w:rsidRPr="000B32BA">
        <w:rPr>
          <w:sz w:val="28"/>
          <w:szCs w:val="28"/>
        </w:rPr>
        <w:t>s, colóquios e congressos internacionais, relacionadas com a sua actividade docente e de causídico.</w:t>
      </w:r>
    </w:p>
    <w:p w:rsidR="000B32BA" w:rsidRDefault="000B32BA" w:rsidP="000B32BA">
      <w:pPr>
        <w:spacing w:line="360" w:lineRule="auto"/>
        <w:ind w:firstLine="567"/>
        <w:jc w:val="both"/>
        <w:rPr>
          <w:sz w:val="28"/>
          <w:szCs w:val="28"/>
        </w:rPr>
      </w:pPr>
    </w:p>
    <w:p w:rsidR="000B32BA" w:rsidRPr="000B32BA" w:rsidRDefault="000B32BA" w:rsidP="000B32B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b/>
          <w:sz w:val="28"/>
          <w:szCs w:val="28"/>
        </w:rPr>
        <w:t>II.</w:t>
      </w:r>
      <w:r w:rsidRPr="000B32BA">
        <w:rPr>
          <w:sz w:val="28"/>
          <w:szCs w:val="28"/>
        </w:rPr>
        <w:t xml:space="preserve"> </w:t>
      </w:r>
      <w:r w:rsidRPr="000B32BA">
        <w:rPr>
          <w:b/>
          <w:sz w:val="28"/>
          <w:szCs w:val="28"/>
        </w:rPr>
        <w:t>Dissertação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0B32BA">
        <w:rPr>
          <w:i/>
          <w:sz w:val="28"/>
          <w:szCs w:val="28"/>
        </w:rPr>
        <w:t xml:space="preserve">A) Metodologia e estrutura 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 presente dissertação apresenta </w:t>
      </w:r>
      <w:r w:rsidR="0066256C" w:rsidRPr="000B32BA">
        <w:rPr>
          <w:sz w:val="28"/>
          <w:szCs w:val="28"/>
        </w:rPr>
        <w:t xml:space="preserve">um tema monográfico, </w:t>
      </w:r>
      <w:r w:rsidR="00FC5821" w:rsidRPr="000B32BA">
        <w:rPr>
          <w:sz w:val="28"/>
          <w:szCs w:val="28"/>
        </w:rPr>
        <w:t xml:space="preserve">“O </w:t>
      </w:r>
      <w:r w:rsidR="0066256C" w:rsidRPr="000B32BA">
        <w:rPr>
          <w:sz w:val="28"/>
          <w:szCs w:val="28"/>
        </w:rPr>
        <w:t>regime jurídico de aces</w:t>
      </w:r>
      <w:r w:rsidR="009971AD" w:rsidRPr="000B32BA">
        <w:rPr>
          <w:sz w:val="28"/>
          <w:szCs w:val="28"/>
        </w:rPr>
        <w:t>so de indivíduos à justiça cons</w:t>
      </w:r>
      <w:r w:rsidR="0066256C" w:rsidRPr="000B32BA">
        <w:rPr>
          <w:sz w:val="28"/>
          <w:szCs w:val="28"/>
        </w:rPr>
        <w:t>titucional moçambicana, em fiscalização concreta, à luz da Constituição de 2004”, no qual se a</w:t>
      </w:r>
      <w:r w:rsidR="009971AD" w:rsidRPr="000B32BA">
        <w:rPr>
          <w:sz w:val="28"/>
          <w:szCs w:val="28"/>
        </w:rPr>
        <w:t>-</w:t>
      </w:r>
      <w:r w:rsidR="0066256C" w:rsidRPr="000B32BA">
        <w:rPr>
          <w:sz w:val="28"/>
          <w:szCs w:val="28"/>
        </w:rPr>
        <w:t>borda questões de inegável relevância e oportunidade no funcionamento do Direito de acess</w:t>
      </w:r>
      <w:r w:rsidR="00C1174A" w:rsidRPr="000B32BA">
        <w:rPr>
          <w:sz w:val="28"/>
          <w:szCs w:val="28"/>
        </w:rPr>
        <w:t>o dos cidadãos à Justiça e aos T</w:t>
      </w:r>
      <w:r w:rsidR="0066256C" w:rsidRPr="000B32BA">
        <w:rPr>
          <w:sz w:val="28"/>
          <w:szCs w:val="28"/>
        </w:rPr>
        <w:t>ribunais</w:t>
      </w:r>
      <w:r w:rsidR="00FC5821" w:rsidRPr="000B32BA">
        <w:rPr>
          <w:sz w:val="28"/>
          <w:szCs w:val="28"/>
        </w:rPr>
        <w:t>,</w:t>
      </w:r>
      <w:r w:rsidR="0066256C" w:rsidRPr="000B32BA">
        <w:rPr>
          <w:sz w:val="28"/>
          <w:szCs w:val="28"/>
        </w:rPr>
        <w:t xml:space="preserve"> à luz da Constituição da República de Moçambique de 2004, </w:t>
      </w:r>
      <w:r w:rsidR="00FC5821" w:rsidRPr="000B32BA">
        <w:rPr>
          <w:sz w:val="28"/>
          <w:szCs w:val="28"/>
        </w:rPr>
        <w:t xml:space="preserve">em fiscalização concreta, </w:t>
      </w:r>
      <w:r w:rsidR="0066256C" w:rsidRPr="000B32BA">
        <w:rPr>
          <w:sz w:val="28"/>
          <w:szCs w:val="28"/>
        </w:rPr>
        <w:t xml:space="preserve">com </w:t>
      </w:r>
      <w:r w:rsidRPr="000B32BA">
        <w:rPr>
          <w:sz w:val="28"/>
          <w:szCs w:val="28"/>
        </w:rPr>
        <w:t>metodologia e objectivos científicos definidos e próprios.</w:t>
      </w: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lastRenderedPageBreak/>
        <w:t xml:space="preserve">A dissertação encontra-se estruturada em </w:t>
      </w:r>
      <w:r w:rsidR="000D41FF" w:rsidRPr="000B32BA">
        <w:rPr>
          <w:sz w:val="28"/>
          <w:szCs w:val="28"/>
        </w:rPr>
        <w:t xml:space="preserve">quatro </w:t>
      </w:r>
      <w:r w:rsidRPr="000B32BA">
        <w:rPr>
          <w:sz w:val="28"/>
          <w:szCs w:val="28"/>
        </w:rPr>
        <w:t>capítulos, a que acresce</w:t>
      </w:r>
      <w:r w:rsidR="005F2A19" w:rsidRPr="000B32BA">
        <w:rPr>
          <w:sz w:val="28"/>
          <w:szCs w:val="28"/>
        </w:rPr>
        <w:t>m</w:t>
      </w:r>
      <w:r w:rsidRPr="000B32BA">
        <w:rPr>
          <w:sz w:val="28"/>
          <w:szCs w:val="28"/>
        </w:rPr>
        <w:t xml:space="preserve"> a Introdução e </w:t>
      </w:r>
      <w:r w:rsidR="003A1971" w:rsidRP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>clusões, acom</w:t>
      </w:r>
      <w:r w:rsidR="00FC5821" w:rsidRPr="000B32BA">
        <w:rPr>
          <w:sz w:val="28"/>
          <w:szCs w:val="28"/>
        </w:rPr>
        <w:t>panhado</w:t>
      </w:r>
      <w:r w:rsidRPr="000B32BA">
        <w:rPr>
          <w:sz w:val="28"/>
          <w:szCs w:val="28"/>
        </w:rPr>
        <w:t>s dos respectivos sub-capítulos</w:t>
      </w:r>
      <w:r w:rsidR="000D41FF" w:rsidRPr="000B32BA">
        <w:rPr>
          <w:sz w:val="28"/>
          <w:szCs w:val="28"/>
        </w:rPr>
        <w:t>.</w:t>
      </w:r>
      <w:r w:rsidRPr="000B32BA">
        <w:rPr>
          <w:sz w:val="28"/>
          <w:szCs w:val="28"/>
        </w:rPr>
        <w:t xml:space="preserve"> </w:t>
      </w:r>
    </w:p>
    <w:p w:rsidR="000D41FF" w:rsidRPr="000B32BA" w:rsidRDefault="000D41FF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Assim: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0D41FF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● Capítulo II, dedicado </w:t>
      </w:r>
      <w:r w:rsidR="00C1174A" w:rsidRPr="000B32BA">
        <w:rPr>
          <w:sz w:val="28"/>
          <w:szCs w:val="28"/>
        </w:rPr>
        <w:t>ao “Percurso histórico do acesso de i</w:t>
      </w:r>
      <w:r w:rsidR="000D41FF" w:rsidRPr="000B32BA">
        <w:rPr>
          <w:sz w:val="28"/>
          <w:szCs w:val="28"/>
        </w:rPr>
        <w:t>ndi</w:t>
      </w:r>
      <w:r w:rsidR="000B32BA">
        <w:rPr>
          <w:sz w:val="28"/>
          <w:szCs w:val="28"/>
        </w:rPr>
        <w:t>-</w:t>
      </w:r>
      <w:r w:rsidR="000D41FF" w:rsidRPr="000B32BA">
        <w:rPr>
          <w:sz w:val="28"/>
          <w:szCs w:val="28"/>
        </w:rPr>
        <w:t>v</w:t>
      </w:r>
      <w:r w:rsidR="00C1174A" w:rsidRPr="000B32BA">
        <w:rPr>
          <w:sz w:val="28"/>
          <w:szCs w:val="28"/>
        </w:rPr>
        <w:t>íduos à Justiça Constitucional m</w:t>
      </w:r>
      <w:r w:rsidR="000D41FF" w:rsidRPr="000B32BA">
        <w:rPr>
          <w:sz w:val="28"/>
          <w:szCs w:val="28"/>
        </w:rPr>
        <w:t xml:space="preserve">oçambicana, em fiscalização concreta”; </w:t>
      </w:r>
    </w:p>
    <w:p w:rsidR="000D41FF" w:rsidRPr="000B32BA" w:rsidRDefault="000D41FF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● Capítulo III</w:t>
      </w:r>
      <w:r w:rsidR="00440BE8" w:rsidRPr="000B32BA">
        <w:rPr>
          <w:sz w:val="28"/>
          <w:szCs w:val="28"/>
        </w:rPr>
        <w:t xml:space="preserve">, intitulado </w:t>
      </w:r>
      <w:r w:rsidRPr="000B32BA">
        <w:rPr>
          <w:sz w:val="28"/>
          <w:szCs w:val="28"/>
        </w:rPr>
        <w:t>“Confronto entre as restrições de acesso à J</w:t>
      </w:r>
      <w:r w:rsidR="00C1174A" w:rsidRPr="000B32BA">
        <w:rPr>
          <w:sz w:val="28"/>
          <w:szCs w:val="28"/>
        </w:rPr>
        <w:t>ustiça Constitucional, em fisca</w:t>
      </w:r>
      <w:r w:rsidRPr="000B32BA">
        <w:rPr>
          <w:sz w:val="28"/>
          <w:szCs w:val="28"/>
        </w:rPr>
        <w:t xml:space="preserve">lização </w:t>
      </w:r>
      <w:r w:rsidR="009971AD" w:rsidRP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>c</w:t>
      </w:r>
      <w:r w:rsidR="00FC5821" w:rsidRPr="000B32BA">
        <w:rPr>
          <w:sz w:val="28"/>
          <w:szCs w:val="28"/>
        </w:rPr>
        <w:t>reta, à luz da Constituição da R</w:t>
      </w:r>
      <w:r w:rsidRPr="000B32BA">
        <w:rPr>
          <w:sz w:val="28"/>
          <w:szCs w:val="28"/>
        </w:rPr>
        <w:t xml:space="preserve">epública de Moçambique de 2004”, face ao “princípio do acesso </w:t>
      </w:r>
      <w:r w:rsidR="000B32BA">
        <w:rPr>
          <w:sz w:val="28"/>
          <w:szCs w:val="28"/>
        </w:rPr>
        <w:t>juris-</w:t>
      </w:r>
      <w:r w:rsidRPr="000B32BA">
        <w:rPr>
          <w:sz w:val="28"/>
          <w:szCs w:val="28"/>
        </w:rPr>
        <w:t>dicional”;</w:t>
      </w: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● Capítulo </w:t>
      </w:r>
      <w:r w:rsidR="000D41FF" w:rsidRPr="000B32BA">
        <w:rPr>
          <w:sz w:val="28"/>
          <w:szCs w:val="28"/>
        </w:rPr>
        <w:t>I</w:t>
      </w:r>
      <w:r w:rsidRPr="000B32BA">
        <w:rPr>
          <w:sz w:val="28"/>
          <w:szCs w:val="28"/>
        </w:rPr>
        <w:t xml:space="preserve">V, </w:t>
      </w:r>
      <w:r w:rsidR="000D41FF" w:rsidRPr="000B32BA">
        <w:rPr>
          <w:sz w:val="28"/>
          <w:szCs w:val="28"/>
        </w:rPr>
        <w:t>relativo à “Justificação para a introdução do recurso de amparo constitucional e do recurso de inconstitucionalidade”;</w:t>
      </w:r>
    </w:p>
    <w:p w:rsidR="000D41FF" w:rsidRPr="000B32BA" w:rsidRDefault="000D41FF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● Capítulo V</w:t>
      </w:r>
      <w:r w:rsidR="00440BE8" w:rsidRPr="000B32BA">
        <w:rPr>
          <w:sz w:val="28"/>
          <w:szCs w:val="28"/>
        </w:rPr>
        <w:t xml:space="preserve">, </w:t>
      </w:r>
      <w:r w:rsidRPr="000B32BA">
        <w:rPr>
          <w:sz w:val="28"/>
          <w:szCs w:val="28"/>
        </w:rPr>
        <w:t>concernente às “Alternativas de solução dos proble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mas de acesso jurisdicional, em fiscalização </w:t>
      </w:r>
      <w:r w:rsidR="00C1174A" w:rsidRP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>creta”.</w:t>
      </w:r>
    </w:p>
    <w:p w:rsidR="003A1971" w:rsidRPr="000B32BA" w:rsidRDefault="003A1971" w:rsidP="003A1971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i/>
          <w:sz w:val="28"/>
          <w:szCs w:val="28"/>
        </w:rPr>
        <w:t xml:space="preserve">B) </w:t>
      </w:r>
      <w:r w:rsidR="00C1174A" w:rsidRPr="000B32BA">
        <w:rPr>
          <w:i/>
          <w:sz w:val="28"/>
          <w:szCs w:val="28"/>
        </w:rPr>
        <w:t>Con</w:t>
      </w:r>
      <w:r w:rsidR="00FC5821" w:rsidRPr="000B32BA">
        <w:rPr>
          <w:i/>
          <w:sz w:val="28"/>
          <w:szCs w:val="28"/>
        </w:rPr>
        <w:t>ceitos de Partida. A questão da “restrição</w:t>
      </w:r>
      <w:r w:rsidR="00C1174A" w:rsidRPr="000B32BA">
        <w:rPr>
          <w:i/>
          <w:sz w:val="28"/>
          <w:szCs w:val="28"/>
        </w:rPr>
        <w:t>” a Direitos Fun</w:t>
      </w:r>
      <w:r w:rsidR="000B32BA">
        <w:rPr>
          <w:i/>
          <w:sz w:val="28"/>
          <w:szCs w:val="28"/>
        </w:rPr>
        <w:t>-</w:t>
      </w:r>
      <w:r w:rsidR="00C1174A" w:rsidRPr="000B32BA">
        <w:rPr>
          <w:i/>
          <w:sz w:val="28"/>
          <w:szCs w:val="28"/>
        </w:rPr>
        <w:t>damentais. Em particular, do Direito de acesso à Justiça e aos Tribunais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C1174A" w:rsidRPr="000B32BA" w:rsidRDefault="00C1174A" w:rsidP="00C117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questão da “restrição” a Direitos fundamentais, e, em particular</w:t>
      </w:r>
      <w:r w:rsidR="008A0F05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do direito de acesso à justiça e aos tribunais, não deve ser confundida com o problema da não </w:t>
      </w:r>
      <w:r w:rsidR="000428A2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concretização</w:t>
      </w:r>
      <w:r w:rsidR="000428A2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e </w:t>
      </w:r>
      <w:r w:rsidR="000428A2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realização</w:t>
      </w:r>
      <w:r w:rsidR="000428A2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de normas da Constituição da República de Moçambique, ou mesmo da sua “não ac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tuação”, incluindo, a questão pertinente da “delimitação” de Direitos Fundamentais na hipótese de </w:t>
      </w:r>
      <w:r w:rsid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>flito prático.</w:t>
      </w:r>
    </w:p>
    <w:p w:rsidR="002F2B8D" w:rsidRPr="000B32BA" w:rsidRDefault="00C1174A" w:rsidP="00C117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 este propósito, deveria </w:t>
      </w:r>
      <w:r w:rsidR="000C42AF" w:rsidRPr="000B32BA">
        <w:rPr>
          <w:sz w:val="28"/>
          <w:szCs w:val="28"/>
        </w:rPr>
        <w:t>o candidato ter deli</w:t>
      </w:r>
      <w:r w:rsidR="000B32BA">
        <w:rPr>
          <w:sz w:val="28"/>
          <w:szCs w:val="28"/>
        </w:rPr>
        <w:t>ne</w:t>
      </w:r>
      <w:r w:rsidRPr="000B32BA">
        <w:rPr>
          <w:sz w:val="28"/>
          <w:szCs w:val="28"/>
        </w:rPr>
        <w:t xml:space="preserve">ado de forma mais consistente e finalizada a questão da normatividade da Constituição da República de Moçambique, quer de um ponto de vista epistemológico, </w:t>
      </w:r>
      <w:r w:rsidRPr="000B32BA">
        <w:rPr>
          <w:sz w:val="28"/>
          <w:szCs w:val="28"/>
        </w:rPr>
        <w:lastRenderedPageBreak/>
        <w:t xml:space="preserve">quer ontológico. A classificação avançada por </w:t>
      </w:r>
      <w:r w:rsidR="0042494A" w:rsidRPr="000B32BA">
        <w:rPr>
          <w:sz w:val="28"/>
          <w:szCs w:val="28"/>
        </w:rPr>
        <w:t>Karl LOEWENSTEIN</w:t>
      </w:r>
      <w:r w:rsidR="00C50A0E" w:rsidRPr="000B32BA">
        <w:rPr>
          <w:rStyle w:val="ncoradanotaderodap"/>
        </w:rPr>
        <w:footnoteReference w:id="1"/>
      </w:r>
      <w:r w:rsidR="0042494A" w:rsidRPr="000B32BA">
        <w:rPr>
          <w:sz w:val="28"/>
          <w:szCs w:val="28"/>
        </w:rPr>
        <w:t xml:space="preserve"> entre </w:t>
      </w:r>
      <w:r w:rsidR="00C50A0E" w:rsidRPr="000B32BA">
        <w:rPr>
          <w:sz w:val="28"/>
          <w:szCs w:val="28"/>
        </w:rPr>
        <w:t>c</w:t>
      </w:r>
      <w:r w:rsidR="0042494A" w:rsidRPr="000B32BA">
        <w:rPr>
          <w:sz w:val="28"/>
          <w:szCs w:val="28"/>
        </w:rPr>
        <w:t>onstituições “normativas”, “nomi</w:t>
      </w:r>
      <w:r w:rsidR="00BA0152" w:rsidRPr="000B32BA">
        <w:rPr>
          <w:sz w:val="28"/>
          <w:szCs w:val="28"/>
        </w:rPr>
        <w:t>nais” e “semânticas</w:t>
      </w:r>
      <w:r w:rsidR="00624648">
        <w:rPr>
          <w:sz w:val="28"/>
          <w:szCs w:val="28"/>
        </w:rPr>
        <w:t>”</w:t>
      </w:r>
      <w:r w:rsidR="0042494A" w:rsidRPr="000B32BA">
        <w:rPr>
          <w:sz w:val="28"/>
          <w:szCs w:val="28"/>
        </w:rPr>
        <w:t xml:space="preserve"> resolveria em parte o problema. </w:t>
      </w:r>
      <w:r w:rsidR="002F2B8D" w:rsidRPr="000B32BA">
        <w:rPr>
          <w:sz w:val="28"/>
          <w:szCs w:val="28"/>
        </w:rPr>
        <w:t>E, ainda, a classificação avançada por PIERO</w:t>
      </w:r>
      <w:r w:rsidR="000B32BA">
        <w:rPr>
          <w:sz w:val="28"/>
          <w:szCs w:val="28"/>
        </w:rPr>
        <w:t>TH e SCHLIN</w:t>
      </w:r>
      <w:r w:rsidR="002F2B8D" w:rsidRPr="000B32BA">
        <w:rPr>
          <w:sz w:val="28"/>
          <w:szCs w:val="28"/>
        </w:rPr>
        <w:t>K</w:t>
      </w:r>
      <w:r w:rsidR="00C27997" w:rsidRPr="000B32BA">
        <w:rPr>
          <w:rStyle w:val="ncoradanotaderodap"/>
        </w:rPr>
        <w:footnoteReference w:id="2"/>
      </w:r>
      <w:r w:rsidR="002F2B8D" w:rsidRPr="000B32BA">
        <w:rPr>
          <w:sz w:val="28"/>
          <w:szCs w:val="28"/>
        </w:rPr>
        <w:t xml:space="preserve"> entre direitos fundamentais sujeitos a “reserv</w:t>
      </w:r>
      <w:r w:rsidR="007E6B2D" w:rsidRPr="000B32BA">
        <w:rPr>
          <w:sz w:val="28"/>
          <w:szCs w:val="28"/>
        </w:rPr>
        <w:t>a de l</w:t>
      </w:r>
      <w:r w:rsidR="002F2B8D" w:rsidRPr="000B32BA">
        <w:rPr>
          <w:sz w:val="28"/>
          <w:szCs w:val="28"/>
        </w:rPr>
        <w:t>ei”, “sim</w:t>
      </w:r>
      <w:r w:rsidR="000B32BA">
        <w:rPr>
          <w:sz w:val="28"/>
          <w:szCs w:val="28"/>
        </w:rPr>
        <w:t>-</w:t>
      </w:r>
      <w:r w:rsidR="002F2B8D" w:rsidRPr="000B32BA">
        <w:rPr>
          <w:sz w:val="28"/>
          <w:szCs w:val="28"/>
        </w:rPr>
        <w:t>ples” ou “qualificada”</w:t>
      </w:r>
      <w:r w:rsidR="000B32BA">
        <w:rPr>
          <w:sz w:val="28"/>
          <w:szCs w:val="28"/>
        </w:rPr>
        <w:t>,</w:t>
      </w:r>
      <w:r w:rsidR="002F2B8D" w:rsidRPr="000B32BA">
        <w:rPr>
          <w:sz w:val="28"/>
          <w:szCs w:val="28"/>
        </w:rPr>
        <w:t xml:space="preserve"> e direitos fundamentais “sem reserva de lei”.</w:t>
      </w:r>
    </w:p>
    <w:p w:rsidR="002F2B8D" w:rsidRPr="000B32BA" w:rsidRDefault="002F2B8D" w:rsidP="00C117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técnica de “constitucionalização” de direitos e liberdades funda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mentais na Constituição da República de Moçambique, apesar da cláu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sula da “aplicabilidade directa”, estabelecida no artigo 56º/1, acaba por obedecer a um princípio de “reserva de lei”.</w:t>
      </w:r>
    </w:p>
    <w:p w:rsidR="003C0197" w:rsidRPr="000B32BA" w:rsidRDefault="0042494A" w:rsidP="004249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É certo que o cand</w:t>
      </w:r>
      <w:r w:rsidR="00C50A0E" w:rsidRPr="000B32BA">
        <w:rPr>
          <w:sz w:val="28"/>
          <w:szCs w:val="28"/>
        </w:rPr>
        <w:t>idato apresenta, no capítulo II ─</w:t>
      </w:r>
      <w:r w:rsidRPr="000B32BA">
        <w:rPr>
          <w:sz w:val="28"/>
          <w:szCs w:val="28"/>
        </w:rPr>
        <w:t xml:space="preserve"> na realidade, deveria ser o primeiro</w:t>
      </w:r>
      <w:r w:rsidR="00C50A0E" w:rsidRPr="000B32BA">
        <w:rPr>
          <w:sz w:val="28"/>
          <w:szCs w:val="28"/>
        </w:rPr>
        <w:t xml:space="preserve"> ─</w:t>
      </w:r>
      <w:r w:rsidRPr="000B32BA">
        <w:rPr>
          <w:sz w:val="28"/>
          <w:szCs w:val="28"/>
        </w:rPr>
        <w:t>, o delineamento do “percurso histórico do a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ces</w:t>
      </w:r>
      <w:r w:rsidR="009971AD" w:rsidRPr="000B32BA">
        <w:rPr>
          <w:sz w:val="28"/>
          <w:szCs w:val="28"/>
        </w:rPr>
        <w:t>so de indivíduos à Justiça Cons</w:t>
      </w:r>
      <w:r w:rsidRPr="000B32BA">
        <w:rPr>
          <w:sz w:val="28"/>
          <w:szCs w:val="28"/>
        </w:rPr>
        <w:t>titucional moçambi</w:t>
      </w:r>
      <w:r w:rsidR="003C0197" w:rsidRPr="000B32BA">
        <w:rPr>
          <w:sz w:val="28"/>
          <w:szCs w:val="28"/>
        </w:rPr>
        <w:t>cana, em fiscaliza</w:t>
      </w:r>
      <w:r w:rsidR="000B32BA">
        <w:rPr>
          <w:sz w:val="28"/>
          <w:szCs w:val="28"/>
        </w:rPr>
        <w:t>-</w:t>
      </w:r>
      <w:r w:rsidR="003C0197" w:rsidRPr="000B32BA">
        <w:rPr>
          <w:sz w:val="28"/>
          <w:szCs w:val="28"/>
        </w:rPr>
        <w:t>ção concreta”.</w:t>
      </w:r>
    </w:p>
    <w:p w:rsidR="0042494A" w:rsidRPr="000B32BA" w:rsidRDefault="003C0197" w:rsidP="004249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Contudo, para melh</w:t>
      </w:r>
      <w:r w:rsidR="000B32BA">
        <w:rPr>
          <w:sz w:val="28"/>
          <w:szCs w:val="28"/>
        </w:rPr>
        <w:t>or intelecção da “narrativa” de</w:t>
      </w:r>
      <w:r w:rsidRPr="000B32BA">
        <w:rPr>
          <w:sz w:val="28"/>
          <w:szCs w:val="28"/>
        </w:rPr>
        <w:t>ve</w:t>
      </w:r>
      <w:r w:rsidR="00C22221" w:rsidRPr="000B32BA">
        <w:rPr>
          <w:sz w:val="28"/>
          <w:szCs w:val="28"/>
        </w:rPr>
        <w:t>ria ter quedado mais bem vincada</w:t>
      </w:r>
      <w:r w:rsidR="00BA0152" w:rsidRPr="000B32BA">
        <w:rPr>
          <w:sz w:val="28"/>
          <w:szCs w:val="28"/>
        </w:rPr>
        <w:t xml:space="preserve"> a distinção e/ou código binário</w:t>
      </w:r>
      <w:r w:rsidR="0042494A" w:rsidRPr="000B32BA">
        <w:rPr>
          <w:sz w:val="28"/>
          <w:szCs w:val="28"/>
        </w:rPr>
        <w:t xml:space="preserve"> </w:t>
      </w:r>
      <w:r w:rsidR="008165F1" w:rsidRPr="000B32BA">
        <w:rPr>
          <w:sz w:val="28"/>
          <w:szCs w:val="28"/>
        </w:rPr>
        <w:t>entre o domínio “de le</w:t>
      </w:r>
      <w:r w:rsidR="0042494A" w:rsidRPr="000B32BA">
        <w:rPr>
          <w:sz w:val="28"/>
          <w:szCs w:val="28"/>
        </w:rPr>
        <w:t xml:space="preserve">ge lata” e </w:t>
      </w:r>
      <w:r w:rsidRPr="000B32BA">
        <w:rPr>
          <w:sz w:val="28"/>
          <w:szCs w:val="28"/>
        </w:rPr>
        <w:t xml:space="preserve">o domínio </w:t>
      </w:r>
      <w:r w:rsidR="0042494A" w:rsidRPr="000B32BA">
        <w:rPr>
          <w:sz w:val="28"/>
          <w:szCs w:val="28"/>
        </w:rPr>
        <w:t>“de lege ferenda”.</w:t>
      </w:r>
    </w:p>
    <w:p w:rsidR="0042494A" w:rsidRPr="000B32BA" w:rsidRDefault="0042494A" w:rsidP="004249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Isto</w:t>
      </w:r>
      <w:r w:rsidR="00C50A0E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quer no âmbito da ordem constitucional moçambicana, quer no </w:t>
      </w:r>
      <w:r w:rsidR="00C50A0E" w:rsidRPr="000B32BA">
        <w:rPr>
          <w:sz w:val="28"/>
          <w:szCs w:val="28"/>
        </w:rPr>
        <w:t xml:space="preserve">âmbito </w:t>
      </w:r>
      <w:r w:rsidRPr="000B32BA">
        <w:rPr>
          <w:sz w:val="28"/>
          <w:szCs w:val="28"/>
        </w:rPr>
        <w:t>do Direito Internacional</w:t>
      </w:r>
      <w:r w:rsidR="00C50A0E" w:rsidRPr="000B32BA">
        <w:rPr>
          <w:sz w:val="28"/>
          <w:szCs w:val="28"/>
        </w:rPr>
        <w:t>, comum ou geral e convencional</w:t>
      </w:r>
      <w:r w:rsidRPr="000B32BA">
        <w:rPr>
          <w:sz w:val="28"/>
          <w:szCs w:val="28"/>
        </w:rPr>
        <w:t>.</w:t>
      </w:r>
    </w:p>
    <w:p w:rsidR="0042494A" w:rsidRPr="000B32BA" w:rsidRDefault="0042494A" w:rsidP="0042494A">
      <w:pPr>
        <w:spacing w:line="360" w:lineRule="auto"/>
        <w:ind w:firstLine="567"/>
        <w:jc w:val="both"/>
        <w:rPr>
          <w:sz w:val="28"/>
          <w:szCs w:val="28"/>
        </w:rPr>
      </w:pPr>
    </w:p>
    <w:p w:rsidR="0042494A" w:rsidRPr="000B32BA" w:rsidRDefault="0042494A" w:rsidP="004249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i/>
          <w:sz w:val="28"/>
          <w:szCs w:val="28"/>
        </w:rPr>
        <w:t>C) O Pr</w:t>
      </w:r>
      <w:r w:rsidR="003C0197" w:rsidRPr="000B32BA">
        <w:rPr>
          <w:i/>
          <w:sz w:val="28"/>
          <w:szCs w:val="28"/>
        </w:rPr>
        <w:t>incípio da Dignidade da Pessoa H</w:t>
      </w:r>
      <w:r w:rsidRPr="000B32BA">
        <w:rPr>
          <w:i/>
          <w:sz w:val="28"/>
          <w:szCs w:val="28"/>
        </w:rPr>
        <w:t>umana com</w:t>
      </w:r>
      <w:r w:rsidR="00CA29C7" w:rsidRPr="000B32BA">
        <w:rPr>
          <w:i/>
          <w:sz w:val="28"/>
          <w:szCs w:val="28"/>
        </w:rPr>
        <w:t>o valor e Direito Fundamental, r</w:t>
      </w:r>
      <w:r w:rsidRPr="000B32BA">
        <w:rPr>
          <w:i/>
          <w:sz w:val="28"/>
          <w:szCs w:val="28"/>
        </w:rPr>
        <w:t>ectius Constitucional</w:t>
      </w:r>
    </w:p>
    <w:p w:rsidR="0042494A" w:rsidRPr="000B32BA" w:rsidRDefault="0042494A" w:rsidP="0042494A">
      <w:pPr>
        <w:spacing w:line="360" w:lineRule="auto"/>
        <w:ind w:firstLine="567"/>
        <w:jc w:val="both"/>
        <w:rPr>
          <w:sz w:val="28"/>
          <w:szCs w:val="28"/>
        </w:rPr>
      </w:pPr>
    </w:p>
    <w:p w:rsidR="004E43EE" w:rsidRPr="000B32BA" w:rsidRDefault="004E43EE" w:rsidP="004E43EE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1. </w:t>
      </w:r>
      <w:r w:rsidR="0042494A" w:rsidRPr="000B32BA">
        <w:rPr>
          <w:sz w:val="28"/>
          <w:szCs w:val="28"/>
        </w:rPr>
        <w:t>Exemplifiquemos</w:t>
      </w:r>
      <w:r w:rsidR="003C0197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utilizando a afirmação vertida na página 15 da Introdução. Passo a citar: “o princípio de acesso jurisdicional, decorrente </w:t>
      </w:r>
      <w:r w:rsidRPr="000B32BA">
        <w:rPr>
          <w:sz w:val="28"/>
          <w:szCs w:val="28"/>
        </w:rPr>
        <w:lastRenderedPageBreak/>
        <w:t>do princípio da dignidade da pessoa humana e corolário do Estado de Di</w:t>
      </w:r>
      <w:r w:rsidR="009971AD" w:rsidRP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reito (cfr., artigo 3º da CRM), tem consagração constitucional nos artigos 62º e 70º da CRM”.</w:t>
      </w:r>
      <w:r w:rsidR="0042494A" w:rsidRPr="000B32BA">
        <w:rPr>
          <w:sz w:val="28"/>
          <w:szCs w:val="28"/>
        </w:rPr>
        <w:t xml:space="preserve">  </w:t>
      </w:r>
    </w:p>
    <w:p w:rsidR="009F539D" w:rsidRPr="000B32BA" w:rsidRDefault="002C425A" w:rsidP="009F53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Como </w:t>
      </w:r>
      <w:r w:rsidR="00CA29C7" w:rsidRPr="000B32BA">
        <w:rPr>
          <w:sz w:val="28"/>
          <w:szCs w:val="28"/>
        </w:rPr>
        <w:t>observou Georg JELLINEK</w:t>
      </w:r>
      <w:r w:rsidR="007C1C2B" w:rsidRPr="000B32BA">
        <w:rPr>
          <w:rStyle w:val="ncoradanotaderodap"/>
        </w:rPr>
        <w:footnoteReference w:id="3"/>
      </w:r>
      <w:r w:rsidR="00D20D68" w:rsidRPr="000B32BA">
        <w:rPr>
          <w:sz w:val="28"/>
          <w:szCs w:val="28"/>
        </w:rPr>
        <w:t xml:space="preserve">, </w:t>
      </w:r>
      <w:r w:rsidR="009F539D" w:rsidRPr="000B32BA">
        <w:rPr>
          <w:sz w:val="28"/>
          <w:szCs w:val="28"/>
        </w:rPr>
        <w:t>o “recurso ao juiz pela vio</w:t>
      </w:r>
      <w:r w:rsidR="000B32BA">
        <w:rPr>
          <w:sz w:val="28"/>
          <w:szCs w:val="28"/>
        </w:rPr>
        <w:t>-</w:t>
      </w:r>
      <w:r w:rsidR="009F539D" w:rsidRPr="000B32BA">
        <w:rPr>
          <w:sz w:val="28"/>
          <w:szCs w:val="28"/>
        </w:rPr>
        <w:t>lação dos interesses que nos dizem directamente respeito apresenta-se como a nota mais distintiva da personalidade. E ainda que essa protecção jurídica se mostre embrionária em muitos Estados, nunca se encontra ausente por completo. Em vão buscaríamos na história dos povos civi</w:t>
      </w:r>
      <w:r w:rsidR="000B32BA">
        <w:rPr>
          <w:sz w:val="28"/>
          <w:szCs w:val="28"/>
        </w:rPr>
        <w:t>-</w:t>
      </w:r>
      <w:r w:rsidR="009F539D" w:rsidRPr="000B32BA">
        <w:rPr>
          <w:sz w:val="28"/>
          <w:szCs w:val="28"/>
        </w:rPr>
        <w:t>lizados um Estado sem tribunais de Justiça”.</w:t>
      </w:r>
    </w:p>
    <w:p w:rsidR="002C425A" w:rsidRPr="000B32BA" w:rsidRDefault="002C425A" w:rsidP="009F539D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Esta afirmação não deriva</w:t>
      </w:r>
      <w:r w:rsidR="009F539D" w:rsidRPr="000B32BA">
        <w:rPr>
          <w:sz w:val="28"/>
          <w:szCs w:val="28"/>
        </w:rPr>
        <w:t xml:space="preserve">, necessariamente, </w:t>
      </w:r>
      <w:r w:rsidRPr="000B32BA">
        <w:rPr>
          <w:sz w:val="28"/>
          <w:szCs w:val="28"/>
        </w:rPr>
        <w:t>do princípio da di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gnidade da pessoa humana, mas do Estado de Direito, uma conquista civilizacional. E é simultaneamente um direito individual e um valor constitucional</w:t>
      </w:r>
      <w:r w:rsidR="00BA0152" w:rsidRPr="00DC5090">
        <w:rPr>
          <w:rStyle w:val="ncoradanotaderodap"/>
        </w:rPr>
        <w:footnoteReference w:id="4"/>
      </w:r>
      <w:r w:rsidRPr="000B32BA">
        <w:rPr>
          <w:sz w:val="28"/>
          <w:szCs w:val="28"/>
        </w:rPr>
        <w:t>.</w:t>
      </w:r>
    </w:p>
    <w:p w:rsidR="002C425A" w:rsidRPr="000B32BA" w:rsidRDefault="002C425A" w:rsidP="0042494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República de Moçam</w:t>
      </w:r>
      <w:r w:rsidR="009F539D" w:rsidRPr="000B32BA">
        <w:rPr>
          <w:sz w:val="28"/>
          <w:szCs w:val="28"/>
        </w:rPr>
        <w:t>bique ─ e a sua Constituição ─</w:t>
      </w:r>
      <w:r w:rsidR="008165F1" w:rsidRPr="000B32BA">
        <w:rPr>
          <w:sz w:val="28"/>
          <w:szCs w:val="28"/>
        </w:rPr>
        <w:t xml:space="preserve"> </w:t>
      </w:r>
      <w:r w:rsidR="009F539D" w:rsidRPr="000B32BA">
        <w:rPr>
          <w:sz w:val="28"/>
          <w:szCs w:val="28"/>
        </w:rPr>
        <w:t>não foge a est</w:t>
      </w:r>
      <w:r w:rsidRPr="000B32BA">
        <w:rPr>
          <w:sz w:val="28"/>
          <w:szCs w:val="28"/>
        </w:rPr>
        <w:t xml:space="preserve">a regra. E quero crer que </w:t>
      </w:r>
      <w:r w:rsidR="009F539D" w:rsidRPr="000B32BA">
        <w:rPr>
          <w:sz w:val="28"/>
          <w:szCs w:val="28"/>
        </w:rPr>
        <w:t xml:space="preserve">o candidato </w:t>
      </w:r>
      <w:r w:rsidRPr="000B32BA">
        <w:rPr>
          <w:sz w:val="28"/>
          <w:szCs w:val="28"/>
        </w:rPr>
        <w:t xml:space="preserve">aceita igualmente a “dupla natureza” </w:t>
      </w:r>
      <w:r w:rsidR="009971AD" w:rsidRPr="000B32BA">
        <w:rPr>
          <w:sz w:val="28"/>
          <w:szCs w:val="28"/>
        </w:rPr>
        <w:t>(</w:t>
      </w:r>
      <w:r w:rsidR="009971AD" w:rsidRPr="000B32BA">
        <w:rPr>
          <w:i/>
          <w:sz w:val="28"/>
          <w:szCs w:val="28"/>
        </w:rPr>
        <w:t>Doppelgestalt</w:t>
      </w:r>
      <w:r w:rsidR="009971AD" w:rsidRPr="000B32BA">
        <w:rPr>
          <w:sz w:val="28"/>
          <w:szCs w:val="28"/>
        </w:rPr>
        <w:t xml:space="preserve">) </w:t>
      </w:r>
      <w:r w:rsidRPr="000B32BA">
        <w:rPr>
          <w:sz w:val="28"/>
          <w:szCs w:val="28"/>
        </w:rPr>
        <w:t>dos Direitos Fundamentais, como posições jurídicas subjectivas e como valor cons</w:t>
      </w:r>
      <w:r w:rsidR="000B32BA">
        <w:rPr>
          <w:sz w:val="28"/>
          <w:szCs w:val="28"/>
        </w:rPr>
        <w:t>titucional</w:t>
      </w:r>
      <w:r w:rsidRPr="000B32BA">
        <w:rPr>
          <w:sz w:val="28"/>
          <w:szCs w:val="28"/>
        </w:rPr>
        <w:t>.</w:t>
      </w:r>
    </w:p>
    <w:p w:rsidR="002C425A" w:rsidRPr="000B32BA" w:rsidRDefault="002C425A" w:rsidP="007E6B2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Não há aqui “</w:t>
      </w:r>
      <w:r w:rsidR="008165F1" w:rsidRPr="000B32BA">
        <w:rPr>
          <w:sz w:val="28"/>
          <w:szCs w:val="28"/>
        </w:rPr>
        <w:t>polivalência” nem “polissemia</w:t>
      </w:r>
      <w:r w:rsidR="000B32BA">
        <w:rPr>
          <w:sz w:val="28"/>
          <w:szCs w:val="28"/>
        </w:rPr>
        <w:t>”</w:t>
      </w:r>
      <w:r w:rsidR="008165F1" w:rsidRPr="000B32BA">
        <w:rPr>
          <w:sz w:val="28"/>
          <w:szCs w:val="28"/>
        </w:rPr>
        <w:t xml:space="preserve"> de</w:t>
      </w:r>
      <w:r w:rsidRPr="000B32BA">
        <w:rPr>
          <w:sz w:val="28"/>
          <w:szCs w:val="28"/>
        </w:rPr>
        <w:t xml:space="preserve"> discurso</w:t>
      </w:r>
      <w:r w:rsidR="008165F1" w:rsidRPr="000B32BA">
        <w:rPr>
          <w:sz w:val="28"/>
          <w:szCs w:val="28"/>
        </w:rPr>
        <w:t>s</w:t>
      </w:r>
      <w:r w:rsidR="003C0197" w:rsidRPr="000B32BA">
        <w:rPr>
          <w:sz w:val="28"/>
          <w:szCs w:val="28"/>
        </w:rPr>
        <w:t>. O que</w:t>
      </w:r>
      <w:r w:rsidRPr="000B32BA">
        <w:rPr>
          <w:sz w:val="28"/>
          <w:szCs w:val="28"/>
        </w:rPr>
        <w:t xml:space="preserve"> </w:t>
      </w:r>
      <w:r w:rsidR="009F539D" w:rsidRPr="000B32BA">
        <w:rPr>
          <w:sz w:val="28"/>
          <w:szCs w:val="28"/>
        </w:rPr>
        <w:t>ocorre</w:t>
      </w:r>
      <w:r w:rsidRPr="000B32BA">
        <w:rPr>
          <w:sz w:val="28"/>
          <w:szCs w:val="28"/>
        </w:rPr>
        <w:t xml:space="preserve"> é uma “construção”, plenamente legítima, mas que de</w:t>
      </w:r>
      <w:r w:rsidR="009F539D" w:rsidRPr="000B32BA">
        <w:rPr>
          <w:sz w:val="28"/>
          <w:szCs w:val="28"/>
        </w:rPr>
        <w:t>ve</w:t>
      </w:r>
      <w:r w:rsidRPr="000B32BA">
        <w:rPr>
          <w:sz w:val="28"/>
          <w:szCs w:val="28"/>
        </w:rPr>
        <w:t xml:space="preserve"> ser fun</w:t>
      </w:r>
      <w:r w:rsidR="000B32BA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damentada. </w:t>
      </w:r>
    </w:p>
    <w:p w:rsidR="000B32BA" w:rsidRDefault="000B32BA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6B2D" w:rsidRPr="000B32BA" w:rsidRDefault="007E6B2D" w:rsidP="007E6B2D">
      <w:pPr>
        <w:spacing w:line="360" w:lineRule="auto"/>
        <w:ind w:firstLine="567"/>
        <w:jc w:val="both"/>
        <w:rPr>
          <w:sz w:val="28"/>
          <w:szCs w:val="28"/>
        </w:rPr>
      </w:pPr>
    </w:p>
    <w:p w:rsidR="002C425A" w:rsidRPr="000B32BA" w:rsidRDefault="002C425A" w:rsidP="0042494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0B32BA">
        <w:rPr>
          <w:i/>
          <w:sz w:val="28"/>
          <w:szCs w:val="28"/>
        </w:rPr>
        <w:t xml:space="preserve">D) A construção de </w:t>
      </w:r>
      <w:r w:rsidR="008165F1" w:rsidRPr="000B32BA">
        <w:rPr>
          <w:i/>
          <w:sz w:val="28"/>
          <w:szCs w:val="28"/>
        </w:rPr>
        <w:t>uma ordem jurídica “multinível”</w:t>
      </w:r>
    </w:p>
    <w:p w:rsidR="002C425A" w:rsidRPr="000B32BA" w:rsidRDefault="002C425A" w:rsidP="0042494A">
      <w:pPr>
        <w:spacing w:line="360" w:lineRule="auto"/>
        <w:ind w:firstLine="567"/>
        <w:jc w:val="both"/>
        <w:rPr>
          <w:sz w:val="28"/>
          <w:szCs w:val="28"/>
        </w:rPr>
      </w:pPr>
    </w:p>
    <w:p w:rsidR="009F539D" w:rsidRPr="000B32BA" w:rsidRDefault="008165F1" w:rsidP="00A578A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De igual modo, o candidato refere, e bem, a vinculação da ordem c</w:t>
      </w:r>
      <w:r w:rsidR="009F539D" w:rsidRPr="000B32BA">
        <w:rPr>
          <w:sz w:val="28"/>
          <w:szCs w:val="28"/>
        </w:rPr>
        <w:t>onstitucional moçambicana ao Di</w:t>
      </w:r>
      <w:r w:rsidRPr="000B32BA">
        <w:rPr>
          <w:sz w:val="28"/>
          <w:szCs w:val="28"/>
        </w:rPr>
        <w:t>reito Internacional</w:t>
      </w:r>
      <w:r w:rsid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com</w:t>
      </w:r>
      <w:r w:rsidR="009F539D" w:rsidRPr="000B32BA">
        <w:rPr>
          <w:sz w:val="28"/>
          <w:szCs w:val="28"/>
        </w:rPr>
        <w:t>um ou geral</w:t>
      </w:r>
      <w:r w:rsidR="000B32BA">
        <w:rPr>
          <w:sz w:val="28"/>
          <w:szCs w:val="28"/>
        </w:rPr>
        <w:t>,</w:t>
      </w:r>
      <w:r w:rsidR="009F539D" w:rsidRPr="000B32BA">
        <w:rPr>
          <w:sz w:val="28"/>
          <w:szCs w:val="28"/>
        </w:rPr>
        <w:t xml:space="preserve"> e ao Direito </w:t>
      </w:r>
      <w:r w:rsidR="008A0F05">
        <w:rPr>
          <w:sz w:val="28"/>
          <w:szCs w:val="28"/>
        </w:rPr>
        <w:t>c</w:t>
      </w:r>
      <w:r w:rsidR="000B32BA">
        <w:rPr>
          <w:sz w:val="28"/>
          <w:szCs w:val="28"/>
        </w:rPr>
        <w:t>on</w:t>
      </w:r>
      <w:r w:rsidR="009F539D" w:rsidRPr="000B32BA">
        <w:rPr>
          <w:sz w:val="28"/>
          <w:szCs w:val="28"/>
        </w:rPr>
        <w:t>ven</w:t>
      </w:r>
      <w:r w:rsidRPr="000B32BA">
        <w:rPr>
          <w:sz w:val="28"/>
          <w:szCs w:val="28"/>
        </w:rPr>
        <w:t>cional</w:t>
      </w:r>
      <w:r w:rsidR="009F539D" w:rsidRPr="000B32BA">
        <w:rPr>
          <w:sz w:val="28"/>
          <w:szCs w:val="28"/>
        </w:rPr>
        <w:t>.</w:t>
      </w:r>
    </w:p>
    <w:p w:rsidR="008165F1" w:rsidRPr="000B32BA" w:rsidRDefault="009F539D" w:rsidP="00A578A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Mas deveria distinguir com precisão e “rigor iuris” o princípio da vinculação jurídico-internacional, estabelecido pela Constituição da Re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p</w:t>
      </w:r>
      <w:r w:rsidR="009971AD" w:rsidRPr="000B32BA">
        <w:rPr>
          <w:sz w:val="28"/>
          <w:szCs w:val="28"/>
        </w:rPr>
        <w:t>ública de Moçambique, do princí</w:t>
      </w:r>
      <w:r w:rsidR="003C0197" w:rsidRPr="000B32BA">
        <w:rPr>
          <w:sz w:val="28"/>
          <w:szCs w:val="28"/>
        </w:rPr>
        <w:t>pio do “ius cogens” em Direito I</w:t>
      </w:r>
      <w:r w:rsidRPr="000B32BA">
        <w:rPr>
          <w:sz w:val="28"/>
          <w:szCs w:val="28"/>
        </w:rPr>
        <w:t>nter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nacional.</w:t>
      </w:r>
    </w:p>
    <w:p w:rsidR="008165F1" w:rsidRPr="000B32BA" w:rsidRDefault="00A578A3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Nesta ordem de considerações,</w:t>
      </w:r>
      <w:r w:rsidR="009F539D" w:rsidRPr="000B32BA">
        <w:rPr>
          <w:sz w:val="28"/>
          <w:szCs w:val="28"/>
        </w:rPr>
        <w:t xml:space="preserve"> </w:t>
      </w:r>
      <w:r w:rsidR="008165F1" w:rsidRPr="000B32BA">
        <w:rPr>
          <w:sz w:val="28"/>
          <w:szCs w:val="28"/>
        </w:rPr>
        <w:t xml:space="preserve">não pode </w:t>
      </w:r>
      <w:r w:rsidR="009F539D" w:rsidRPr="000B32BA">
        <w:rPr>
          <w:sz w:val="28"/>
          <w:szCs w:val="28"/>
        </w:rPr>
        <w:t xml:space="preserve">o candidato </w:t>
      </w:r>
      <w:r w:rsidR="008165F1" w:rsidRPr="000B32BA">
        <w:rPr>
          <w:sz w:val="28"/>
          <w:szCs w:val="28"/>
        </w:rPr>
        <w:t xml:space="preserve">utilizar de uma forma apriorística e voluntarista o </w:t>
      </w:r>
      <w:r w:rsidR="00DC5090">
        <w:rPr>
          <w:sz w:val="28"/>
          <w:szCs w:val="28"/>
        </w:rPr>
        <w:t>con</w:t>
      </w:r>
      <w:r w:rsidR="008165F1" w:rsidRPr="000B32BA">
        <w:rPr>
          <w:sz w:val="28"/>
          <w:szCs w:val="28"/>
        </w:rPr>
        <w:t>ceito de “ius cogens” pela simples remissão para o disposto no artigo 53º da Convenção de Vie</w:t>
      </w:r>
      <w:r w:rsidR="007B1798" w:rsidRPr="000B32BA">
        <w:rPr>
          <w:sz w:val="28"/>
          <w:szCs w:val="28"/>
        </w:rPr>
        <w:t>na sobre o Direito dos Tratados.</w:t>
      </w:r>
    </w:p>
    <w:p w:rsidR="008165F1" w:rsidRPr="000B32BA" w:rsidRDefault="008165F1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 muito menos não operar a distinção entre normas de “ius cogens” e “obrigações erga omnes”, estabelecida pelo Tribunal Internacional de Justiça, em 1971, no caso </w:t>
      </w:r>
      <w:r w:rsidRPr="000B32BA">
        <w:rPr>
          <w:i/>
          <w:sz w:val="28"/>
          <w:szCs w:val="28"/>
        </w:rPr>
        <w:t>Barcelona Tractions</w:t>
      </w:r>
      <w:r w:rsidR="003C0197" w:rsidRPr="00DC5090">
        <w:rPr>
          <w:rStyle w:val="ncoradanotaderodap"/>
        </w:rPr>
        <w:footnoteReference w:id="5"/>
      </w:r>
      <w:r w:rsidRPr="000B32BA">
        <w:rPr>
          <w:sz w:val="28"/>
          <w:szCs w:val="28"/>
        </w:rPr>
        <w:t>.</w:t>
      </w:r>
    </w:p>
    <w:p w:rsidR="008D13F5" w:rsidRPr="000B32BA" w:rsidRDefault="008D13F5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E, ainda, </w:t>
      </w:r>
      <w:r w:rsidR="003C0197" w:rsidRPr="000B32BA">
        <w:rPr>
          <w:sz w:val="28"/>
          <w:szCs w:val="28"/>
        </w:rPr>
        <w:t>face a</w:t>
      </w:r>
      <w:r w:rsidRPr="000B32BA">
        <w:rPr>
          <w:sz w:val="28"/>
          <w:szCs w:val="28"/>
        </w:rPr>
        <w:t>os “princípios fundamentais de Direito Internacio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nal”, no caso seguindo a terminologia </w:t>
      </w:r>
      <w:r w:rsidR="00DC5090">
        <w:rPr>
          <w:sz w:val="28"/>
          <w:szCs w:val="28"/>
        </w:rPr>
        <w:t>an</w:t>
      </w:r>
      <w:r w:rsidRPr="000B32BA">
        <w:rPr>
          <w:sz w:val="28"/>
          <w:szCs w:val="28"/>
        </w:rPr>
        <w:t>glo-americana, e, em particular, o princípio “pacta sunt servanda”, considerado</w:t>
      </w:r>
      <w:r w:rsidR="003C0197" w:rsidRPr="000B32BA">
        <w:rPr>
          <w:sz w:val="28"/>
          <w:szCs w:val="28"/>
        </w:rPr>
        <w:t>, de resto,</w:t>
      </w:r>
      <w:r w:rsidRPr="000B32BA">
        <w:rPr>
          <w:sz w:val="28"/>
          <w:szCs w:val="28"/>
        </w:rPr>
        <w:t xml:space="preserve"> por </w:t>
      </w:r>
      <w:r w:rsidR="009971AD" w:rsidRPr="000B32BA">
        <w:rPr>
          <w:sz w:val="28"/>
          <w:szCs w:val="28"/>
        </w:rPr>
        <w:t xml:space="preserve">Hans </w:t>
      </w:r>
      <w:r w:rsidRPr="000B32BA">
        <w:rPr>
          <w:sz w:val="28"/>
          <w:szCs w:val="28"/>
        </w:rPr>
        <w:t>KEL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SEN</w:t>
      </w:r>
      <w:r w:rsidR="007B1798" w:rsidRPr="00DC5090">
        <w:rPr>
          <w:rStyle w:val="ncoradanotaderodap"/>
        </w:rPr>
        <w:footnoteReference w:id="6"/>
      </w:r>
      <w:r w:rsidRPr="000B32BA">
        <w:rPr>
          <w:sz w:val="28"/>
          <w:szCs w:val="28"/>
        </w:rPr>
        <w:t xml:space="preserve"> o fundamento da</w:t>
      </w:r>
      <w:r w:rsidR="009971AD" w:rsidRPr="000B32BA">
        <w:rPr>
          <w:sz w:val="28"/>
          <w:szCs w:val="28"/>
        </w:rPr>
        <w:t xml:space="preserve"> própria</w:t>
      </w:r>
      <w:r w:rsidRPr="000B32BA">
        <w:rPr>
          <w:sz w:val="28"/>
          <w:szCs w:val="28"/>
        </w:rPr>
        <w:t xml:space="preserve"> ordem jurídica internacional e multinível.</w:t>
      </w:r>
    </w:p>
    <w:p w:rsidR="008D13F5" w:rsidRPr="000B32BA" w:rsidRDefault="00A578A3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</w:t>
      </w:r>
      <w:r w:rsidR="008D13F5" w:rsidRPr="000B32BA">
        <w:rPr>
          <w:sz w:val="28"/>
          <w:szCs w:val="28"/>
        </w:rPr>
        <w:t xml:space="preserve">ormas de “ius cogens” e “obrigações erga omnes” vinculam os Estados membros da ordem jurídica internacional independentemente do </w:t>
      </w:r>
      <w:r w:rsidR="008D13F5" w:rsidRPr="000B32BA">
        <w:rPr>
          <w:sz w:val="28"/>
          <w:szCs w:val="28"/>
        </w:rPr>
        <w:lastRenderedPageBreak/>
        <w:t>respectivo “</w:t>
      </w:r>
      <w:r w:rsidRPr="000B32BA">
        <w:rPr>
          <w:sz w:val="28"/>
          <w:szCs w:val="28"/>
        </w:rPr>
        <w:t>con</w:t>
      </w:r>
      <w:r w:rsidR="008D13F5" w:rsidRPr="000B32BA">
        <w:rPr>
          <w:sz w:val="28"/>
          <w:szCs w:val="28"/>
        </w:rPr>
        <w:t>sentimento”, outro dos grandes princípios fundamentais do Direito Internacional.</w:t>
      </w:r>
    </w:p>
    <w:p w:rsidR="00BC6DE8" w:rsidRPr="000B32BA" w:rsidRDefault="00BC6DE8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 pressupõem a existência de uma “comunidade internacional”, autónoma e personaliz</w:t>
      </w:r>
      <w:r w:rsidR="00DB5179" w:rsidRPr="000B32BA">
        <w:rPr>
          <w:sz w:val="28"/>
          <w:szCs w:val="28"/>
        </w:rPr>
        <w:t>a</w:t>
      </w:r>
      <w:r w:rsidRPr="000B32BA">
        <w:rPr>
          <w:sz w:val="28"/>
          <w:szCs w:val="28"/>
        </w:rPr>
        <w:t>da, independente da vontade dos Estados</w:t>
      </w:r>
      <w:r w:rsidR="003942AD" w:rsidRPr="00DC5090">
        <w:rPr>
          <w:rStyle w:val="FootnoteSymbol"/>
          <w:sz w:val="24"/>
        </w:rPr>
        <w:footnoteReference w:id="7"/>
      </w:r>
      <w:r w:rsidRPr="000B32BA">
        <w:rPr>
          <w:sz w:val="28"/>
          <w:szCs w:val="28"/>
        </w:rPr>
        <w:t>.</w:t>
      </w:r>
    </w:p>
    <w:p w:rsidR="008D13F5" w:rsidRPr="000B32BA" w:rsidRDefault="00A578A3" w:rsidP="00BA0152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Sem esquecer que</w:t>
      </w:r>
      <w:r w:rsidR="008D13F5" w:rsidRPr="000B32BA">
        <w:rPr>
          <w:sz w:val="28"/>
          <w:szCs w:val="28"/>
        </w:rPr>
        <w:t xml:space="preserve"> há autores consagrados de Direito Internacional que unicamente aceitam como integrando normas de “ius cogens” o dis</w:t>
      </w:r>
      <w:r w:rsidR="00DC5090">
        <w:rPr>
          <w:sz w:val="28"/>
          <w:szCs w:val="28"/>
        </w:rPr>
        <w:t>-</w:t>
      </w:r>
      <w:r w:rsidR="008D13F5" w:rsidRPr="000B32BA">
        <w:rPr>
          <w:sz w:val="28"/>
          <w:szCs w:val="28"/>
        </w:rPr>
        <w:t xml:space="preserve">posto no artigo 2º, alguns ainda o artigo 1º, da Carta das Nações Unidas, e em particular o disposto no parágrafo 4º do artigo 2º, que proíbe a </w:t>
      </w:r>
      <w:r w:rsidR="008D13F5" w:rsidRPr="000B32BA">
        <w:rPr>
          <w:sz w:val="28"/>
          <w:szCs w:val="28"/>
        </w:rPr>
        <w:lastRenderedPageBreak/>
        <w:t>utilização unilateral da força como modo de solução e dirimição de conflitos internacionais.</w:t>
      </w:r>
      <w:r w:rsidR="00BC6DE8" w:rsidRPr="000B32BA">
        <w:rPr>
          <w:sz w:val="28"/>
          <w:szCs w:val="28"/>
        </w:rPr>
        <w:t xml:space="preserve"> Um “ius cogens” convencional</w:t>
      </w:r>
      <w:r w:rsidR="00E11ECE" w:rsidRPr="00DC5090">
        <w:rPr>
          <w:rStyle w:val="ncoradanotaderodap"/>
        </w:rPr>
        <w:footnoteReference w:id="8"/>
      </w:r>
      <w:r w:rsidR="00DC5090">
        <w:rPr>
          <w:sz w:val="28"/>
          <w:szCs w:val="28"/>
        </w:rPr>
        <w:t>, em suma.</w:t>
      </w:r>
    </w:p>
    <w:p w:rsidR="00E47CBA" w:rsidRPr="000B32BA" w:rsidRDefault="00E47CBA" w:rsidP="002C425A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8D13F5" w:rsidRPr="000B32BA" w:rsidRDefault="008D13F5" w:rsidP="002C425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0B32BA">
        <w:rPr>
          <w:i/>
          <w:sz w:val="28"/>
          <w:szCs w:val="28"/>
        </w:rPr>
        <w:t xml:space="preserve">E) Autoridade e execução das sentenças do </w:t>
      </w:r>
      <w:r w:rsidR="00DC5090">
        <w:rPr>
          <w:i/>
          <w:sz w:val="28"/>
          <w:szCs w:val="28"/>
        </w:rPr>
        <w:t>Con</w:t>
      </w:r>
      <w:r w:rsidRPr="000B32BA">
        <w:rPr>
          <w:i/>
          <w:sz w:val="28"/>
          <w:szCs w:val="28"/>
        </w:rPr>
        <w:t>selho Constitu</w:t>
      </w:r>
      <w:r w:rsidR="00DC5090">
        <w:rPr>
          <w:i/>
          <w:sz w:val="28"/>
          <w:szCs w:val="28"/>
        </w:rPr>
        <w:t>-</w:t>
      </w:r>
      <w:r w:rsidRPr="000B32BA">
        <w:rPr>
          <w:i/>
          <w:sz w:val="28"/>
          <w:szCs w:val="28"/>
        </w:rPr>
        <w:t>cional</w:t>
      </w:r>
    </w:p>
    <w:p w:rsidR="008D13F5" w:rsidRPr="000B32BA" w:rsidRDefault="008D13F5" w:rsidP="002C425A">
      <w:pPr>
        <w:spacing w:line="360" w:lineRule="auto"/>
        <w:ind w:firstLine="567"/>
        <w:jc w:val="both"/>
        <w:rPr>
          <w:sz w:val="28"/>
          <w:szCs w:val="28"/>
        </w:rPr>
      </w:pPr>
    </w:p>
    <w:p w:rsidR="002C425A" w:rsidRPr="000B32BA" w:rsidRDefault="00E11ECE" w:rsidP="005B1249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Esta é</w:t>
      </w:r>
      <w:r w:rsidR="008D13F5" w:rsidRPr="000B32BA">
        <w:rPr>
          <w:sz w:val="28"/>
          <w:szCs w:val="28"/>
        </w:rPr>
        <w:t xml:space="preserve"> uma matéria, de relev</w:t>
      </w:r>
      <w:r w:rsidR="00AD15EC" w:rsidRPr="000B32BA">
        <w:rPr>
          <w:sz w:val="28"/>
          <w:szCs w:val="28"/>
        </w:rPr>
        <w:t>ância primordial na pre</w:t>
      </w:r>
      <w:r w:rsidR="00A578A3" w:rsidRPr="000B32BA">
        <w:rPr>
          <w:sz w:val="28"/>
          <w:szCs w:val="28"/>
        </w:rPr>
        <w:t>sente D</w:t>
      </w:r>
      <w:r w:rsidR="006764F6" w:rsidRPr="000B32BA">
        <w:rPr>
          <w:sz w:val="28"/>
          <w:szCs w:val="28"/>
        </w:rPr>
        <w:t>isser</w:t>
      </w:r>
      <w:r w:rsidR="00DC5090">
        <w:rPr>
          <w:sz w:val="28"/>
          <w:szCs w:val="28"/>
        </w:rPr>
        <w:t>-</w:t>
      </w:r>
      <w:r w:rsidR="006764F6" w:rsidRPr="000B32BA">
        <w:rPr>
          <w:sz w:val="28"/>
          <w:szCs w:val="28"/>
        </w:rPr>
        <w:t>tação</w:t>
      </w:r>
      <w:r w:rsidR="00BC6DE8" w:rsidRPr="000B32BA">
        <w:rPr>
          <w:sz w:val="28"/>
          <w:szCs w:val="28"/>
        </w:rPr>
        <w:t>,</w:t>
      </w:r>
      <w:r w:rsidR="00AD15EC" w:rsidRPr="000B32BA">
        <w:rPr>
          <w:sz w:val="28"/>
          <w:szCs w:val="28"/>
        </w:rPr>
        <w:t xml:space="preserve"> que não obteve </w:t>
      </w:r>
      <w:r w:rsidR="00D62FE8" w:rsidRPr="000B32BA">
        <w:rPr>
          <w:sz w:val="28"/>
          <w:szCs w:val="28"/>
        </w:rPr>
        <w:t xml:space="preserve">da </w:t>
      </w:r>
      <w:r w:rsidR="00AD15EC" w:rsidRPr="000B32BA">
        <w:rPr>
          <w:sz w:val="28"/>
          <w:szCs w:val="28"/>
        </w:rPr>
        <w:t xml:space="preserve">parte do </w:t>
      </w:r>
      <w:r w:rsidR="00A578A3" w:rsidRPr="000B32BA">
        <w:rPr>
          <w:sz w:val="28"/>
          <w:szCs w:val="28"/>
        </w:rPr>
        <w:t>ca</w:t>
      </w:r>
      <w:r w:rsidR="00DC5090">
        <w:rPr>
          <w:sz w:val="28"/>
          <w:szCs w:val="28"/>
        </w:rPr>
        <w:t>ndi</w:t>
      </w:r>
      <w:r w:rsidR="00AD15EC" w:rsidRPr="000B32BA">
        <w:rPr>
          <w:sz w:val="28"/>
          <w:szCs w:val="28"/>
        </w:rPr>
        <w:t>dato um tratamento adequado. A execução das decisões dos tribunais, e, no caso, do Conselho Constitu</w:t>
      </w:r>
      <w:r w:rsidR="00DC5090">
        <w:rPr>
          <w:sz w:val="28"/>
          <w:szCs w:val="28"/>
        </w:rPr>
        <w:t>-</w:t>
      </w:r>
      <w:r w:rsidR="00AD15EC" w:rsidRPr="000B32BA">
        <w:rPr>
          <w:sz w:val="28"/>
          <w:szCs w:val="28"/>
        </w:rPr>
        <w:t>cional</w:t>
      </w:r>
      <w:r w:rsidR="005B1249" w:rsidRPr="000B32BA">
        <w:rPr>
          <w:sz w:val="28"/>
          <w:szCs w:val="28"/>
        </w:rPr>
        <w:t>.</w:t>
      </w:r>
    </w:p>
    <w:p w:rsidR="005B1249" w:rsidRPr="000B32BA" w:rsidRDefault="005B1249" w:rsidP="006764F6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E, ainda, os conceitos de “constituição” e “inconstitucionalidade</w:t>
      </w:r>
      <w:r w:rsidR="00BA0152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>, por exemplo, nas</w:t>
      </w:r>
      <w:r w:rsidR="00DC5090">
        <w:rPr>
          <w:sz w:val="28"/>
          <w:szCs w:val="28"/>
        </w:rPr>
        <w:t xml:space="preserve"> páginas 31 e se</w:t>
      </w:r>
      <w:r w:rsidR="00BA0152" w:rsidRPr="000B32BA">
        <w:rPr>
          <w:sz w:val="28"/>
          <w:szCs w:val="28"/>
        </w:rPr>
        <w:t>guintes da sua D</w:t>
      </w:r>
      <w:r w:rsidRPr="000B32BA">
        <w:rPr>
          <w:sz w:val="28"/>
          <w:szCs w:val="28"/>
        </w:rPr>
        <w:t>issertação. Não se definindo com rigor e precisão os conceitos de partida torna-se particu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larmente difícil argumentar e aportar numa aproximação, e, eventual conclusões, </w:t>
      </w:r>
      <w:r w:rsidR="00BC6DE8" w:rsidRPr="000B32BA">
        <w:rPr>
          <w:sz w:val="28"/>
          <w:szCs w:val="28"/>
        </w:rPr>
        <w:t>correct</w:t>
      </w:r>
      <w:r w:rsidR="00D62FE8" w:rsidRPr="000B32BA">
        <w:rPr>
          <w:sz w:val="28"/>
          <w:szCs w:val="28"/>
        </w:rPr>
        <w:t xml:space="preserve">as </w:t>
      </w:r>
      <w:r w:rsidRPr="000B32BA">
        <w:rPr>
          <w:sz w:val="28"/>
          <w:szCs w:val="28"/>
        </w:rPr>
        <w:t>e</w:t>
      </w:r>
      <w:r w:rsidR="007E6B2D" w:rsidRPr="000B32BA">
        <w:rPr>
          <w:sz w:val="28"/>
          <w:szCs w:val="28"/>
        </w:rPr>
        <w:t xml:space="preserve"> adequadas</w:t>
      </w:r>
      <w:r w:rsidRPr="000B32BA">
        <w:rPr>
          <w:sz w:val="28"/>
          <w:szCs w:val="28"/>
        </w:rPr>
        <w:t>.</w:t>
      </w:r>
    </w:p>
    <w:p w:rsidR="00020AA1" w:rsidRPr="000B32BA" w:rsidRDefault="00020AA1" w:rsidP="006764F6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Isto no que concerne, </w:t>
      </w:r>
      <w:r w:rsidRPr="000B32BA">
        <w:rPr>
          <w:i/>
          <w:sz w:val="28"/>
          <w:szCs w:val="28"/>
        </w:rPr>
        <w:t>inter alia</w:t>
      </w:r>
      <w:r w:rsidRPr="000B32BA">
        <w:rPr>
          <w:sz w:val="28"/>
          <w:szCs w:val="28"/>
        </w:rPr>
        <w:t>, à questão da inconstitu</w:t>
      </w:r>
      <w:r w:rsidR="006764F6" w:rsidRPr="000B32BA">
        <w:rPr>
          <w:sz w:val="28"/>
          <w:szCs w:val="28"/>
        </w:rPr>
        <w:t>cionalidade indirecta</w:t>
      </w:r>
      <w:r w:rsidRPr="000B32BA">
        <w:rPr>
          <w:sz w:val="28"/>
          <w:szCs w:val="28"/>
        </w:rPr>
        <w:t xml:space="preserve"> e/ou interposta, bloco de constitucionalidade, </w:t>
      </w:r>
      <w:r w:rsidR="00DC5090">
        <w:rPr>
          <w:sz w:val="28"/>
          <w:szCs w:val="28"/>
        </w:rPr>
        <w:t>inconstitucionali-</w:t>
      </w:r>
      <w:r w:rsidRPr="000B32BA">
        <w:rPr>
          <w:sz w:val="28"/>
          <w:szCs w:val="28"/>
        </w:rPr>
        <w:t>dade consequente</w:t>
      </w:r>
      <w:r w:rsidR="006764F6" w:rsidRPr="000B32BA">
        <w:rPr>
          <w:sz w:val="28"/>
          <w:szCs w:val="28"/>
        </w:rPr>
        <w:t xml:space="preserve"> e/ou por arrastamento</w:t>
      </w:r>
      <w:r w:rsidRPr="000B32BA">
        <w:rPr>
          <w:sz w:val="28"/>
          <w:szCs w:val="28"/>
        </w:rPr>
        <w:t xml:space="preserve">. E, em particular, no que </w:t>
      </w:r>
      <w:r w:rsidR="007E6B2D" w:rsidRPr="000B32BA">
        <w:rPr>
          <w:sz w:val="28"/>
          <w:szCs w:val="28"/>
        </w:rPr>
        <w:t xml:space="preserve">diz res-peito </w:t>
      </w:r>
      <w:r w:rsidRPr="000B32BA">
        <w:rPr>
          <w:sz w:val="28"/>
          <w:szCs w:val="28"/>
        </w:rPr>
        <w:t>à “insindicabilidade dos acórdãos do Conselho Constitucional”</w:t>
      </w:r>
      <w:r w:rsidR="00BA0152" w:rsidRPr="00DC5090">
        <w:rPr>
          <w:rStyle w:val="ncoradanotaderodap"/>
        </w:rPr>
        <w:footnoteReference w:id="9"/>
      </w:r>
      <w:r w:rsidRPr="000B32BA">
        <w:rPr>
          <w:sz w:val="28"/>
          <w:szCs w:val="28"/>
        </w:rPr>
        <w:t>.</w:t>
      </w:r>
    </w:p>
    <w:p w:rsidR="00020AA1" w:rsidRPr="000B32BA" w:rsidRDefault="00020AA1" w:rsidP="009971A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Constituição da República de Moçambique ao es</w:t>
      </w:r>
      <w:r w:rsidR="009971AD" w:rsidRPr="000B32BA">
        <w:rPr>
          <w:sz w:val="28"/>
          <w:szCs w:val="28"/>
        </w:rPr>
        <w:t>tabelecer um modelo de Justiça C</w:t>
      </w:r>
      <w:r w:rsidRPr="000B32BA">
        <w:rPr>
          <w:sz w:val="28"/>
          <w:szCs w:val="28"/>
        </w:rPr>
        <w:t xml:space="preserve">onstitucional </w:t>
      </w:r>
      <w:r w:rsidR="00DC5090">
        <w:rPr>
          <w:sz w:val="28"/>
          <w:szCs w:val="28"/>
        </w:rPr>
        <w:t>con</w:t>
      </w:r>
      <w:r w:rsidRPr="000B32BA">
        <w:rPr>
          <w:sz w:val="28"/>
          <w:szCs w:val="28"/>
        </w:rPr>
        <w:t>centrada, com a criação do Conse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lastRenderedPageBreak/>
        <w:t>lho Constitucion</w:t>
      </w:r>
      <w:r w:rsidR="00BC6DE8" w:rsidRPr="000B32BA">
        <w:rPr>
          <w:sz w:val="28"/>
          <w:szCs w:val="28"/>
        </w:rPr>
        <w:t>al, autónomo e independente</w:t>
      </w:r>
      <w:r w:rsidR="006764F6" w:rsidRPr="000B32BA">
        <w:rPr>
          <w:sz w:val="28"/>
          <w:szCs w:val="28"/>
        </w:rPr>
        <w:t xml:space="preserve"> do</w:t>
      </w:r>
      <w:r w:rsidRPr="000B32BA">
        <w:rPr>
          <w:sz w:val="28"/>
          <w:szCs w:val="28"/>
        </w:rPr>
        <w:t xml:space="preserve"> poder judicial, optou por um modelo de se</w:t>
      </w:r>
      <w:r w:rsidR="006764F6" w:rsidRPr="000B32BA">
        <w:rPr>
          <w:sz w:val="28"/>
          <w:szCs w:val="28"/>
        </w:rPr>
        <w:t>paração entre a Justiça Constitucional e a Justiça Comum.</w:t>
      </w:r>
    </w:p>
    <w:p w:rsidR="00A578A3" w:rsidRPr="000B32BA" w:rsidRDefault="00D62FE8" w:rsidP="009971A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Citando Thomas HOBBES</w:t>
      </w:r>
      <w:r w:rsidRPr="00DC5090">
        <w:rPr>
          <w:rStyle w:val="ncoradanotaderodap"/>
        </w:rPr>
        <w:footnoteReference w:id="10"/>
      </w:r>
      <w:r w:rsidRPr="000B32BA">
        <w:rPr>
          <w:sz w:val="28"/>
          <w:szCs w:val="28"/>
        </w:rPr>
        <w:t>, “a</w:t>
      </w:r>
      <w:r w:rsidR="006764F6" w:rsidRPr="000B32BA">
        <w:rPr>
          <w:sz w:val="28"/>
          <w:szCs w:val="28"/>
        </w:rPr>
        <w:t xml:space="preserve">uctoritas non veritas facit legem”. O que significa que um acórdão do Conselho Constitucional detém autoridade, mas não </w:t>
      </w:r>
      <w:r w:rsidR="00DC5090">
        <w:rPr>
          <w:sz w:val="28"/>
          <w:szCs w:val="28"/>
        </w:rPr>
        <w:t>necessa</w:t>
      </w:r>
      <w:r w:rsidR="00E878FF" w:rsidRPr="000B32BA">
        <w:rPr>
          <w:sz w:val="28"/>
          <w:szCs w:val="28"/>
        </w:rPr>
        <w:t xml:space="preserve">riamente </w:t>
      </w:r>
      <w:r w:rsidR="006764F6" w:rsidRPr="000B32BA">
        <w:rPr>
          <w:sz w:val="28"/>
          <w:szCs w:val="28"/>
        </w:rPr>
        <w:t xml:space="preserve">a verdade. </w:t>
      </w:r>
    </w:p>
    <w:p w:rsidR="006764F6" w:rsidRPr="000B32BA" w:rsidRDefault="006764F6" w:rsidP="007E6B2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 pode ser inconstitucional. Mas ao não e</w:t>
      </w:r>
      <w:r w:rsidR="00281C49" w:rsidRPr="000B32BA">
        <w:rPr>
          <w:sz w:val="28"/>
          <w:szCs w:val="28"/>
        </w:rPr>
        <w:t>xistir autoridade de re</w:t>
      </w:r>
      <w:r w:rsidR="00DC5090">
        <w:rPr>
          <w:sz w:val="28"/>
          <w:szCs w:val="28"/>
        </w:rPr>
        <w:t>-</w:t>
      </w:r>
      <w:r w:rsidR="00281C49" w:rsidRPr="000B32BA">
        <w:rPr>
          <w:sz w:val="28"/>
          <w:szCs w:val="28"/>
        </w:rPr>
        <w:t>curso, a</w:t>
      </w:r>
      <w:r w:rsidRPr="000B32BA">
        <w:rPr>
          <w:sz w:val="28"/>
          <w:szCs w:val="28"/>
        </w:rPr>
        <w:t xml:space="preserve"> não ser o poder de revisão constitucional, que é um poder constituído, </w:t>
      </w:r>
      <w:r w:rsidR="00BC6DE8" w:rsidRPr="000B32BA">
        <w:rPr>
          <w:sz w:val="28"/>
          <w:szCs w:val="28"/>
        </w:rPr>
        <w:t xml:space="preserve">os acórdãos do Conselho Constitucional </w:t>
      </w:r>
      <w:r w:rsidR="00DC5090">
        <w:rPr>
          <w:sz w:val="28"/>
          <w:szCs w:val="28"/>
        </w:rPr>
        <w:t>são finais, isto é, detêm “auto</w:t>
      </w:r>
      <w:r w:rsidR="00BC6DE8" w:rsidRPr="000B32BA">
        <w:rPr>
          <w:sz w:val="28"/>
          <w:szCs w:val="28"/>
        </w:rPr>
        <w:t xml:space="preserve">ridade”, mas não a “verdade”. </w:t>
      </w:r>
    </w:p>
    <w:p w:rsidR="007E6B2D" w:rsidRPr="000B32BA" w:rsidRDefault="007E6B2D" w:rsidP="007E6B2D">
      <w:pPr>
        <w:spacing w:line="360" w:lineRule="auto"/>
        <w:ind w:firstLine="567"/>
        <w:jc w:val="both"/>
        <w:rPr>
          <w:sz w:val="28"/>
          <w:szCs w:val="28"/>
        </w:rPr>
      </w:pPr>
    </w:p>
    <w:p w:rsidR="006764F6" w:rsidRPr="000B32BA" w:rsidRDefault="006764F6" w:rsidP="00FD66C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0B32BA">
        <w:rPr>
          <w:i/>
          <w:sz w:val="28"/>
          <w:szCs w:val="28"/>
        </w:rPr>
        <w:t>F) Defesa e garantia da Constituição</w:t>
      </w:r>
    </w:p>
    <w:p w:rsidR="00C64A63" w:rsidRPr="000B32BA" w:rsidRDefault="00C64A63" w:rsidP="00020AA1">
      <w:pPr>
        <w:spacing w:line="360" w:lineRule="auto"/>
        <w:ind w:firstLine="284"/>
        <w:jc w:val="both"/>
        <w:rPr>
          <w:sz w:val="28"/>
          <w:szCs w:val="28"/>
        </w:rPr>
      </w:pPr>
    </w:p>
    <w:p w:rsidR="00C64A63" w:rsidRPr="000B32BA" w:rsidRDefault="00C64A63" w:rsidP="00C64A63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O que nos transporta para um</w:t>
      </w:r>
      <w:r w:rsidR="00FD66C9" w:rsidRPr="000B32BA">
        <w:rPr>
          <w:sz w:val="28"/>
          <w:szCs w:val="28"/>
        </w:rPr>
        <w:t>a outra</w:t>
      </w:r>
      <w:r w:rsidRPr="000B32BA">
        <w:rPr>
          <w:sz w:val="28"/>
          <w:szCs w:val="28"/>
        </w:rPr>
        <w:t xml:space="preserve"> </w:t>
      </w:r>
      <w:r w:rsidR="00FD66C9" w:rsidRPr="000B32BA">
        <w:rPr>
          <w:sz w:val="28"/>
          <w:szCs w:val="28"/>
        </w:rPr>
        <w:t>questão</w:t>
      </w:r>
      <w:r w:rsidR="00BC6DE8" w:rsidRPr="000B32BA">
        <w:rPr>
          <w:sz w:val="28"/>
          <w:szCs w:val="28"/>
        </w:rPr>
        <w:t xml:space="preserve"> basilar</w:t>
      </w:r>
      <w:r w:rsidRPr="000B32BA">
        <w:rPr>
          <w:sz w:val="28"/>
          <w:szCs w:val="28"/>
        </w:rPr>
        <w:t xml:space="preserve">: a </w:t>
      </w:r>
      <w:r w:rsidR="00FD66C9" w:rsidRPr="000B32BA">
        <w:rPr>
          <w:sz w:val="28"/>
          <w:szCs w:val="28"/>
        </w:rPr>
        <w:t xml:space="preserve">da </w:t>
      </w:r>
      <w:r w:rsidRPr="000B32BA">
        <w:rPr>
          <w:sz w:val="28"/>
          <w:szCs w:val="28"/>
        </w:rPr>
        <w:t>garantia e não di</w:t>
      </w:r>
      <w:r w:rsidR="00281C49" w:rsidRPr="000B32BA">
        <w:rPr>
          <w:sz w:val="28"/>
          <w:szCs w:val="28"/>
        </w:rPr>
        <w:t xml:space="preserve">sjuntividade dos princípios do </w:t>
      </w:r>
      <w:r w:rsidR="00281C49" w:rsidRPr="000B32BA">
        <w:rPr>
          <w:i/>
          <w:sz w:val="28"/>
          <w:szCs w:val="28"/>
        </w:rPr>
        <w:t>Estado de</w:t>
      </w:r>
      <w:r w:rsidRPr="000B32BA">
        <w:rPr>
          <w:i/>
          <w:sz w:val="28"/>
          <w:szCs w:val="28"/>
        </w:rPr>
        <w:t xml:space="preserve"> Direito</w:t>
      </w:r>
      <w:r w:rsidRPr="000B32BA">
        <w:rPr>
          <w:sz w:val="28"/>
          <w:szCs w:val="28"/>
        </w:rPr>
        <w:t xml:space="preserve"> e da </w:t>
      </w:r>
      <w:r w:rsidRPr="000B32BA">
        <w:rPr>
          <w:i/>
          <w:sz w:val="28"/>
          <w:szCs w:val="28"/>
        </w:rPr>
        <w:t>Demo</w:t>
      </w:r>
      <w:r w:rsidR="00DC5090">
        <w:rPr>
          <w:i/>
          <w:sz w:val="28"/>
          <w:szCs w:val="28"/>
        </w:rPr>
        <w:t>-</w:t>
      </w:r>
      <w:r w:rsidRPr="000B32BA">
        <w:rPr>
          <w:i/>
          <w:sz w:val="28"/>
          <w:szCs w:val="28"/>
        </w:rPr>
        <w:t>cracia</w:t>
      </w:r>
      <w:r w:rsidRPr="000B32BA">
        <w:rPr>
          <w:sz w:val="28"/>
          <w:szCs w:val="28"/>
        </w:rPr>
        <w:t>.</w:t>
      </w:r>
      <w:r w:rsidR="00281C49" w:rsidRPr="000B32BA">
        <w:rPr>
          <w:sz w:val="28"/>
          <w:szCs w:val="28"/>
        </w:rPr>
        <w:t xml:space="preserve"> Um não pode ser pensado sem o outro. </w:t>
      </w:r>
    </w:p>
    <w:p w:rsidR="00C64A63" w:rsidRPr="000B32BA" w:rsidRDefault="00281C49" w:rsidP="00281C49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O</w:t>
      </w:r>
      <w:r w:rsidR="00C64A63" w:rsidRPr="000B32BA">
        <w:rPr>
          <w:sz w:val="28"/>
          <w:szCs w:val="28"/>
        </w:rPr>
        <w:t xml:space="preserve"> que significa, no quadro de uma democracia representativa, que o poder soberano, do povo de Moçambique, é deleg</w:t>
      </w:r>
      <w:r w:rsidRPr="000B32BA">
        <w:rPr>
          <w:sz w:val="28"/>
          <w:szCs w:val="28"/>
        </w:rPr>
        <w:t>ado nos três poderes de governo ─</w:t>
      </w:r>
      <w:r w:rsidR="00C64A63" w:rsidRPr="000B32BA">
        <w:rPr>
          <w:sz w:val="28"/>
          <w:szCs w:val="28"/>
        </w:rPr>
        <w:t xml:space="preserve"> legis</w:t>
      </w:r>
      <w:r w:rsidR="00DC5090">
        <w:rPr>
          <w:sz w:val="28"/>
          <w:szCs w:val="28"/>
        </w:rPr>
        <w:t>l</w:t>
      </w:r>
      <w:r w:rsidRPr="000B32BA">
        <w:rPr>
          <w:sz w:val="28"/>
          <w:szCs w:val="28"/>
        </w:rPr>
        <w:t>ativo, executivo e judicial.</w:t>
      </w:r>
    </w:p>
    <w:p w:rsidR="00C64A63" w:rsidRPr="000B32BA" w:rsidRDefault="00C64A63" w:rsidP="00595C32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Sob este ponto de vista, a Constituição da República de Moçambi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que não é monista, mas </w:t>
      </w:r>
      <w:r w:rsidRPr="000B32BA">
        <w:rPr>
          <w:i/>
          <w:sz w:val="28"/>
          <w:szCs w:val="28"/>
        </w:rPr>
        <w:t>dualista</w:t>
      </w:r>
      <w:r w:rsidRPr="000B32BA">
        <w:rPr>
          <w:sz w:val="28"/>
          <w:szCs w:val="28"/>
        </w:rPr>
        <w:t>. Os três poderes de Governo têm au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toridade para a interpretar a Constituição. Nessa relação</w:t>
      </w:r>
      <w:r w:rsidR="00473C44" w:rsidRPr="000B32BA">
        <w:rPr>
          <w:sz w:val="28"/>
          <w:szCs w:val="28"/>
        </w:rPr>
        <w:t xml:space="preserve"> concorrencial</w:t>
      </w:r>
      <w:r w:rsidRPr="000B32BA">
        <w:rPr>
          <w:sz w:val="28"/>
          <w:szCs w:val="28"/>
        </w:rPr>
        <w:t xml:space="preserve">, o legislador </w:t>
      </w:r>
      <w:r w:rsidR="00595C32" w:rsidRPr="000B32BA">
        <w:rPr>
          <w:sz w:val="28"/>
          <w:szCs w:val="28"/>
        </w:rPr>
        <w:t>deté</w:t>
      </w:r>
      <w:r w:rsidRPr="000B32BA">
        <w:rPr>
          <w:sz w:val="28"/>
          <w:szCs w:val="28"/>
        </w:rPr>
        <w:t xml:space="preserve">m a </w:t>
      </w:r>
      <w:r w:rsidRPr="000B32BA">
        <w:rPr>
          <w:i/>
          <w:sz w:val="28"/>
          <w:szCs w:val="28"/>
        </w:rPr>
        <w:t>precedência</w:t>
      </w:r>
      <w:r w:rsidRPr="000B32BA">
        <w:rPr>
          <w:sz w:val="28"/>
          <w:szCs w:val="28"/>
        </w:rPr>
        <w:t xml:space="preserve"> e o Conselho Constitucional a </w:t>
      </w:r>
      <w:r w:rsidRPr="000B32BA">
        <w:rPr>
          <w:i/>
          <w:sz w:val="28"/>
          <w:szCs w:val="28"/>
        </w:rPr>
        <w:t>prima</w:t>
      </w:r>
      <w:r w:rsidR="00DC5090">
        <w:rPr>
          <w:i/>
          <w:sz w:val="28"/>
          <w:szCs w:val="28"/>
        </w:rPr>
        <w:t>-</w:t>
      </w:r>
      <w:r w:rsidRPr="000B32BA">
        <w:rPr>
          <w:i/>
          <w:sz w:val="28"/>
          <w:szCs w:val="28"/>
        </w:rPr>
        <w:t>zia</w:t>
      </w:r>
      <w:r w:rsidR="00473C44" w:rsidRPr="00DC5090">
        <w:rPr>
          <w:rStyle w:val="ncoradanotaderodap"/>
        </w:rPr>
        <w:footnoteReference w:id="11"/>
      </w:r>
      <w:r w:rsidRPr="000B32BA">
        <w:rPr>
          <w:sz w:val="28"/>
          <w:szCs w:val="28"/>
        </w:rPr>
        <w:t>.</w:t>
      </w:r>
    </w:p>
    <w:p w:rsidR="00C64A63" w:rsidRPr="000B32BA" w:rsidRDefault="00C64A63" w:rsidP="00364F74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lastRenderedPageBreak/>
        <w:t xml:space="preserve">Nisto consiste o </w:t>
      </w:r>
      <w:r w:rsidR="00BC6DE8" w:rsidRPr="000B32BA">
        <w:rPr>
          <w:sz w:val="28"/>
          <w:szCs w:val="28"/>
        </w:rPr>
        <w:t xml:space="preserve">chamado </w:t>
      </w:r>
      <w:r w:rsidRPr="000B32BA">
        <w:rPr>
          <w:sz w:val="28"/>
          <w:szCs w:val="28"/>
        </w:rPr>
        <w:t xml:space="preserve">princípio da “correcção funcional” </w:t>
      </w:r>
      <w:r w:rsidR="00364F74" w:rsidRPr="000B32BA">
        <w:rPr>
          <w:sz w:val="28"/>
          <w:szCs w:val="28"/>
        </w:rPr>
        <w:t>(</w:t>
      </w:r>
      <w:r w:rsidR="00364F74" w:rsidRPr="000B32BA">
        <w:rPr>
          <w:i/>
          <w:sz w:val="28"/>
          <w:szCs w:val="28"/>
        </w:rPr>
        <w:t>funk</w:t>
      </w:r>
      <w:r w:rsidR="00DC5090">
        <w:rPr>
          <w:i/>
          <w:sz w:val="28"/>
          <w:szCs w:val="28"/>
        </w:rPr>
        <w:t>-</w:t>
      </w:r>
      <w:r w:rsidR="00364F74" w:rsidRPr="000B32BA">
        <w:rPr>
          <w:i/>
          <w:sz w:val="28"/>
          <w:szCs w:val="28"/>
        </w:rPr>
        <w:t>tionelle Richtigkeit</w:t>
      </w:r>
      <w:r w:rsidR="00364F74" w:rsidRPr="000B32BA">
        <w:rPr>
          <w:sz w:val="28"/>
          <w:szCs w:val="28"/>
        </w:rPr>
        <w:t>)</w:t>
      </w:r>
      <w:r w:rsidR="005B7688" w:rsidRPr="000B32BA">
        <w:rPr>
          <w:sz w:val="28"/>
          <w:szCs w:val="28"/>
        </w:rPr>
        <w:t>,</w:t>
      </w:r>
      <w:r w:rsidR="00364F74" w:rsidRPr="000B32BA">
        <w:rPr>
          <w:sz w:val="28"/>
          <w:szCs w:val="28"/>
        </w:rPr>
        <w:t xml:space="preserve"> </w:t>
      </w:r>
      <w:r w:rsidRPr="000B32BA">
        <w:rPr>
          <w:sz w:val="28"/>
          <w:szCs w:val="28"/>
        </w:rPr>
        <w:t xml:space="preserve">no respeito pelos princípios do </w:t>
      </w:r>
      <w:r w:rsidRPr="000B32BA">
        <w:rPr>
          <w:i/>
          <w:sz w:val="28"/>
          <w:szCs w:val="28"/>
        </w:rPr>
        <w:t>Estado de Direito</w:t>
      </w:r>
      <w:r w:rsidRPr="000B32BA">
        <w:rPr>
          <w:sz w:val="28"/>
          <w:szCs w:val="28"/>
        </w:rPr>
        <w:t xml:space="preserve"> e da </w:t>
      </w:r>
      <w:r w:rsidRPr="000B32BA">
        <w:rPr>
          <w:i/>
          <w:sz w:val="28"/>
          <w:szCs w:val="28"/>
        </w:rPr>
        <w:t>Democracia</w:t>
      </w:r>
      <w:r w:rsidRPr="000B32BA">
        <w:rPr>
          <w:sz w:val="28"/>
          <w:szCs w:val="28"/>
        </w:rPr>
        <w:t xml:space="preserve">. Incluindo o princípio da separação dos poderes </w:t>
      </w:r>
      <w:r w:rsidR="005B7688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no</w:t>
      </w:r>
      <w:r w:rsidR="005B7688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Es</w:t>
      </w:r>
      <w:r w:rsidR="00BC6DE8" w:rsidRPr="000B32BA">
        <w:rPr>
          <w:sz w:val="28"/>
          <w:szCs w:val="28"/>
        </w:rPr>
        <w:t>-</w:t>
      </w:r>
      <w:r w:rsidRPr="000B32BA">
        <w:rPr>
          <w:sz w:val="28"/>
          <w:szCs w:val="28"/>
        </w:rPr>
        <w:t>tado.</w:t>
      </w:r>
    </w:p>
    <w:p w:rsidR="00595C32" w:rsidRPr="000B32BA" w:rsidRDefault="00595C32" w:rsidP="005B7688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Defender que o Conselho Constitucional possa declarar normas constitucionais originárias inconstitucionais é confundir o </w:t>
      </w:r>
      <w:r w:rsidRPr="000B32BA">
        <w:rPr>
          <w:i/>
          <w:sz w:val="28"/>
          <w:szCs w:val="28"/>
        </w:rPr>
        <w:t>poder cons</w:t>
      </w:r>
      <w:r w:rsidR="00DC5090">
        <w:rPr>
          <w:i/>
          <w:sz w:val="28"/>
          <w:szCs w:val="28"/>
        </w:rPr>
        <w:t>-</w:t>
      </w:r>
      <w:r w:rsidRPr="000B32BA">
        <w:rPr>
          <w:i/>
          <w:sz w:val="28"/>
          <w:szCs w:val="28"/>
        </w:rPr>
        <w:t>tituinte</w:t>
      </w:r>
      <w:r w:rsidRPr="000B32BA">
        <w:rPr>
          <w:sz w:val="28"/>
          <w:szCs w:val="28"/>
        </w:rPr>
        <w:t xml:space="preserve"> com os </w:t>
      </w:r>
      <w:r w:rsidRPr="000B32BA">
        <w:rPr>
          <w:i/>
          <w:sz w:val="28"/>
          <w:szCs w:val="28"/>
        </w:rPr>
        <w:t>poderes constituídos</w:t>
      </w:r>
      <w:r w:rsidRPr="000B32BA">
        <w:rPr>
          <w:sz w:val="28"/>
          <w:szCs w:val="28"/>
        </w:rPr>
        <w:t xml:space="preserve">. </w:t>
      </w:r>
    </w:p>
    <w:p w:rsidR="005B7688" w:rsidRPr="000B32BA" w:rsidRDefault="00595C32" w:rsidP="007278E4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 mesmo em Portugal, já para não falar nos Estados Unidos, há mesmo quem defenda, eu própria, que o Tribunal Constitucional não deveria fiscalizar em sede s</w:t>
      </w:r>
      <w:r w:rsidR="007278E4" w:rsidRPr="000B32BA">
        <w:rPr>
          <w:sz w:val="28"/>
          <w:szCs w:val="28"/>
        </w:rPr>
        <w:t>ucessiva abstracta normas de rev</w:t>
      </w:r>
      <w:r w:rsidRPr="000B32BA">
        <w:rPr>
          <w:sz w:val="28"/>
          <w:szCs w:val="28"/>
        </w:rPr>
        <w:t>isão cons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titucional, justamente por pô</w:t>
      </w:r>
      <w:r w:rsidR="005B7688" w:rsidRPr="000B32BA">
        <w:rPr>
          <w:sz w:val="28"/>
          <w:szCs w:val="28"/>
        </w:rPr>
        <w:t>r em causa esse</w:t>
      </w:r>
      <w:r w:rsidR="007278E4" w:rsidRPr="000B32BA">
        <w:rPr>
          <w:sz w:val="28"/>
          <w:szCs w:val="28"/>
        </w:rPr>
        <w:t xml:space="preserve"> equilíbrio constitucional</w:t>
      </w:r>
      <w:r w:rsidR="005B7688" w:rsidRPr="000B32BA">
        <w:rPr>
          <w:sz w:val="28"/>
          <w:szCs w:val="28"/>
        </w:rPr>
        <w:t>, imperfeitamente especificado</w:t>
      </w:r>
      <w:r w:rsidR="007E6B2D" w:rsidRPr="000B32BA">
        <w:rPr>
          <w:sz w:val="28"/>
          <w:szCs w:val="28"/>
        </w:rPr>
        <w:t xml:space="preserve"> </w:t>
      </w:r>
      <w:r w:rsidR="007278E4" w:rsidRPr="000B32BA">
        <w:rPr>
          <w:sz w:val="28"/>
          <w:szCs w:val="28"/>
        </w:rPr>
        <w:t xml:space="preserve">entre os três poderes de governo. </w:t>
      </w:r>
      <w:r w:rsidR="005B7688" w:rsidRPr="000B32BA">
        <w:rPr>
          <w:sz w:val="28"/>
          <w:szCs w:val="28"/>
        </w:rPr>
        <w:t>U</w:t>
      </w:r>
      <w:r w:rsidR="00256CA0" w:rsidRPr="000B32BA">
        <w:rPr>
          <w:sz w:val="28"/>
          <w:szCs w:val="28"/>
        </w:rPr>
        <w:t>ma relação circular</w:t>
      </w:r>
      <w:r w:rsidR="005B7688" w:rsidRPr="000B32BA">
        <w:rPr>
          <w:sz w:val="28"/>
          <w:szCs w:val="28"/>
        </w:rPr>
        <w:t xml:space="preserve"> e de efeitos recíprocos ─ </w:t>
      </w:r>
      <w:r w:rsidR="00256CA0" w:rsidRPr="000B32BA">
        <w:rPr>
          <w:sz w:val="28"/>
          <w:szCs w:val="28"/>
        </w:rPr>
        <w:t>isto é, não assimétricos ─ entre o princípio D</w:t>
      </w:r>
      <w:r w:rsidR="005B7688" w:rsidRPr="000B32BA">
        <w:rPr>
          <w:sz w:val="28"/>
          <w:szCs w:val="28"/>
        </w:rPr>
        <w:t>emocrático e o princípio do Estado de Direito. Ou se se preferir, numa outra ter</w:t>
      </w:r>
      <w:r w:rsidR="00256CA0" w:rsidRPr="000B32BA">
        <w:rPr>
          <w:sz w:val="28"/>
          <w:szCs w:val="28"/>
        </w:rPr>
        <w:t>minologia</w:t>
      </w:r>
      <w:r w:rsidR="008A0F05">
        <w:rPr>
          <w:sz w:val="28"/>
          <w:szCs w:val="28"/>
        </w:rPr>
        <w:t>,</w:t>
      </w:r>
      <w:r w:rsidR="00256CA0" w:rsidRPr="000B32BA">
        <w:rPr>
          <w:sz w:val="28"/>
          <w:szCs w:val="28"/>
        </w:rPr>
        <w:t xml:space="preserve"> entre o princípio da L</w:t>
      </w:r>
      <w:r w:rsidR="005B7688" w:rsidRPr="000B32BA">
        <w:rPr>
          <w:sz w:val="28"/>
          <w:szCs w:val="28"/>
        </w:rPr>
        <w:t>egitimidade e o Império da</w:t>
      </w:r>
      <w:r w:rsidR="00BC6DE8" w:rsidRPr="000B32BA">
        <w:rPr>
          <w:sz w:val="28"/>
          <w:szCs w:val="28"/>
        </w:rPr>
        <w:t>s</w:t>
      </w:r>
      <w:r w:rsidR="005B7688" w:rsidRPr="000B32BA">
        <w:rPr>
          <w:sz w:val="28"/>
          <w:szCs w:val="28"/>
        </w:rPr>
        <w:t xml:space="preserve"> Lei</w:t>
      </w:r>
      <w:r w:rsidR="00BC6DE8" w:rsidRPr="000B32BA">
        <w:rPr>
          <w:sz w:val="28"/>
          <w:szCs w:val="28"/>
        </w:rPr>
        <w:t>s</w:t>
      </w:r>
      <w:r w:rsidR="005B7688" w:rsidRPr="000B32BA">
        <w:rPr>
          <w:sz w:val="28"/>
          <w:szCs w:val="28"/>
        </w:rPr>
        <w:t xml:space="preserve">. </w:t>
      </w:r>
    </w:p>
    <w:p w:rsidR="006764F6" w:rsidRPr="000B32BA" w:rsidRDefault="005B7688" w:rsidP="00E044C1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De</w:t>
      </w:r>
      <w:r w:rsidR="00E044C1" w:rsidRPr="000B32BA">
        <w:rPr>
          <w:sz w:val="28"/>
          <w:szCs w:val="28"/>
        </w:rPr>
        <w:t xml:space="preserve"> igual modo, a afirmação da “confrontação da ilegitimidade do Ministério Público e dos indivíduos de suscitar a fiscalização concreta concentrada da inconstitucionaldade das normas declaradas inconstitu</w:t>
      </w:r>
      <w:r w:rsidR="00DC5090">
        <w:rPr>
          <w:sz w:val="28"/>
          <w:szCs w:val="28"/>
        </w:rPr>
        <w:t>-</w:t>
      </w:r>
      <w:r w:rsidR="00E044C1" w:rsidRPr="000B32BA">
        <w:rPr>
          <w:sz w:val="28"/>
          <w:szCs w:val="28"/>
        </w:rPr>
        <w:t>cionais com o princípio d</w:t>
      </w:r>
      <w:r w:rsidRPr="000B32BA">
        <w:rPr>
          <w:sz w:val="28"/>
          <w:szCs w:val="28"/>
        </w:rPr>
        <w:t>e acesso jurisdicional</w:t>
      </w:r>
      <w:r w:rsidR="00BC6DE8" w:rsidRPr="00DC5090">
        <w:rPr>
          <w:rStyle w:val="ncoradanotaderodap"/>
        </w:rPr>
        <w:footnoteReference w:id="12"/>
      </w:r>
      <w:r w:rsidRPr="000B32BA">
        <w:rPr>
          <w:sz w:val="28"/>
          <w:szCs w:val="28"/>
        </w:rPr>
        <w:t xml:space="preserve">, </w:t>
      </w:r>
      <w:r w:rsidR="00E044C1" w:rsidRPr="000B32BA">
        <w:rPr>
          <w:sz w:val="28"/>
          <w:szCs w:val="28"/>
        </w:rPr>
        <w:t>ou mesmo a “confron</w:t>
      </w:r>
      <w:r w:rsidR="00DC5090">
        <w:rPr>
          <w:sz w:val="28"/>
          <w:szCs w:val="28"/>
        </w:rPr>
        <w:t>-</w:t>
      </w:r>
      <w:r w:rsidR="00E044C1" w:rsidRPr="000B32BA">
        <w:rPr>
          <w:sz w:val="28"/>
          <w:szCs w:val="28"/>
        </w:rPr>
        <w:t>tação da falta de previsão de fiscalização da inconstitucionalidade por omissão com o princípio do acesso jurisdic</w:t>
      </w:r>
      <w:r w:rsidRPr="000B32BA">
        <w:rPr>
          <w:sz w:val="28"/>
          <w:szCs w:val="28"/>
        </w:rPr>
        <w:t>ional</w:t>
      </w:r>
      <w:r w:rsidR="00BC6DE8" w:rsidRPr="00DC5090">
        <w:rPr>
          <w:rStyle w:val="ncoradanotaderodap"/>
        </w:rPr>
        <w:footnoteReference w:id="13"/>
      </w:r>
      <w:r w:rsidRPr="000B32BA">
        <w:rPr>
          <w:sz w:val="28"/>
          <w:szCs w:val="28"/>
        </w:rPr>
        <w:t xml:space="preserve">, a “confrontação </w:t>
      </w:r>
      <w:r w:rsidR="00E044C1" w:rsidRPr="000B32BA">
        <w:rPr>
          <w:sz w:val="28"/>
          <w:szCs w:val="28"/>
        </w:rPr>
        <w:t>da falta de previsão de fiscalização jurisdicional concentrada da inconstitu</w:t>
      </w:r>
      <w:r w:rsidR="00DC5090">
        <w:rPr>
          <w:sz w:val="28"/>
          <w:szCs w:val="28"/>
        </w:rPr>
        <w:t>-</w:t>
      </w:r>
      <w:r w:rsidR="00E044C1" w:rsidRPr="000B32BA">
        <w:rPr>
          <w:sz w:val="28"/>
          <w:szCs w:val="28"/>
        </w:rPr>
        <w:t>cionalidade ou ilegalidade, nos casos de decisões negativas de incons</w:t>
      </w:r>
      <w:r w:rsidR="00DC5090">
        <w:rPr>
          <w:sz w:val="28"/>
          <w:szCs w:val="28"/>
        </w:rPr>
        <w:t>-</w:t>
      </w:r>
      <w:r w:rsidR="00E044C1" w:rsidRPr="000B32BA">
        <w:rPr>
          <w:sz w:val="28"/>
          <w:szCs w:val="28"/>
        </w:rPr>
        <w:lastRenderedPageBreak/>
        <w:t>titucionalidade ou ilegalidade, com o pri</w:t>
      </w:r>
      <w:r w:rsidRPr="000B32BA">
        <w:rPr>
          <w:sz w:val="28"/>
          <w:szCs w:val="28"/>
        </w:rPr>
        <w:t>ncípio do acesso jurisdicional</w:t>
      </w:r>
      <w:r w:rsidR="00BC6DE8" w:rsidRPr="00DC5090">
        <w:rPr>
          <w:rStyle w:val="ncoradanotaderodap"/>
        </w:rPr>
        <w:footnoteReference w:id="14"/>
      </w:r>
      <w:r w:rsidR="00E044C1" w:rsidRPr="000B32BA">
        <w:rPr>
          <w:sz w:val="28"/>
          <w:szCs w:val="28"/>
        </w:rPr>
        <w:t>, ou</w:t>
      </w:r>
      <w:r w:rsidR="00635FC5" w:rsidRPr="000B32BA">
        <w:rPr>
          <w:sz w:val="28"/>
          <w:szCs w:val="28"/>
        </w:rPr>
        <w:t>, ainda,</w:t>
      </w:r>
      <w:r w:rsidR="00E044C1" w:rsidRPr="000B32BA">
        <w:rPr>
          <w:sz w:val="28"/>
          <w:szCs w:val="28"/>
        </w:rPr>
        <w:t xml:space="preserve"> a “confrontação entre o regime de fiscalização concreta da conformidade das normas internas com os princípios e normas do DIP, e o processo do acesso jurisdicional”</w:t>
      </w:r>
      <w:r w:rsidR="00635FC5" w:rsidRPr="00DC5090">
        <w:rPr>
          <w:rStyle w:val="ncoradanotaderodap"/>
        </w:rPr>
        <w:footnoteReference w:id="15"/>
      </w:r>
      <w:r w:rsidR="00E044C1" w:rsidRPr="000B32BA">
        <w:rPr>
          <w:sz w:val="28"/>
          <w:szCs w:val="28"/>
        </w:rPr>
        <w:t xml:space="preserve">, entre outras. </w:t>
      </w:r>
    </w:p>
    <w:p w:rsidR="00FD66C9" w:rsidRPr="000B32BA" w:rsidRDefault="00FD66C9" w:rsidP="00E044C1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 título meramente exemplificativo, a Alemanha e a Itália não autonomizam o controle abstracto ou </w:t>
      </w:r>
      <w:r w:rsidR="00256CA0" w:rsidRP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 xml:space="preserve">creto das omissões legislativas. Mas os respectivos tribunais </w:t>
      </w:r>
      <w:r w:rsidR="007E6B2D" w:rsidRPr="000B32BA">
        <w:rPr>
          <w:sz w:val="28"/>
          <w:szCs w:val="28"/>
        </w:rPr>
        <w:t xml:space="preserve">de Justiça Constitucional </w:t>
      </w:r>
      <w:r w:rsidRPr="000B32BA">
        <w:rPr>
          <w:sz w:val="28"/>
          <w:szCs w:val="28"/>
        </w:rPr>
        <w:t>nunc</w:t>
      </w:r>
      <w:r w:rsidR="00635FC5" w:rsidRPr="000B32BA">
        <w:rPr>
          <w:sz w:val="28"/>
          <w:szCs w:val="28"/>
        </w:rPr>
        <w:t>a deixaram de fiscalizar por ac</w:t>
      </w:r>
      <w:r w:rsidRPr="000B32BA">
        <w:rPr>
          <w:sz w:val="28"/>
          <w:szCs w:val="28"/>
        </w:rPr>
        <w:t xml:space="preserve">ção as omissões ou exclusões </w:t>
      </w:r>
      <w:r w:rsidR="007E6B2D" w:rsidRPr="000B32BA">
        <w:rPr>
          <w:sz w:val="28"/>
          <w:szCs w:val="28"/>
        </w:rPr>
        <w:t xml:space="preserve">ilegítimas </w:t>
      </w:r>
      <w:r w:rsidRPr="000B32BA">
        <w:rPr>
          <w:sz w:val="28"/>
          <w:szCs w:val="28"/>
        </w:rPr>
        <w:t>do legislador</w:t>
      </w:r>
      <w:r w:rsidR="00256CA0" w:rsidRPr="000B32BA">
        <w:rPr>
          <w:sz w:val="28"/>
          <w:szCs w:val="28"/>
        </w:rPr>
        <w:t xml:space="preserve"> com os efeitos que lhe são inerentes</w:t>
      </w:r>
      <w:r w:rsidRPr="000B32BA">
        <w:rPr>
          <w:sz w:val="28"/>
          <w:szCs w:val="28"/>
        </w:rPr>
        <w:t xml:space="preserve">. E fazem-no não através de uma decisão de </w:t>
      </w:r>
      <w:r w:rsidR="00256CA0" w:rsidRPr="000B32BA">
        <w:rPr>
          <w:sz w:val="28"/>
          <w:szCs w:val="28"/>
        </w:rPr>
        <w:t>“</w:t>
      </w:r>
      <w:r w:rsidR="00635FC5" w:rsidRPr="000B32BA">
        <w:rPr>
          <w:sz w:val="28"/>
          <w:szCs w:val="28"/>
        </w:rPr>
        <w:t>veri</w:t>
      </w:r>
      <w:r w:rsidRPr="000B32BA">
        <w:rPr>
          <w:sz w:val="28"/>
          <w:szCs w:val="28"/>
        </w:rPr>
        <w:t>ficação</w:t>
      </w:r>
      <w:r w:rsidR="00256CA0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>, dando dela conhecimento ao órgão legislativo competente, mas através</w:t>
      </w:r>
      <w:r w:rsidR="00635FC5" w:rsidRPr="000B32BA">
        <w:rPr>
          <w:sz w:val="28"/>
          <w:szCs w:val="28"/>
        </w:rPr>
        <w:t xml:space="preserve"> da declaração de inconstitucio</w:t>
      </w:r>
      <w:r w:rsidRPr="000B32BA">
        <w:rPr>
          <w:sz w:val="28"/>
          <w:szCs w:val="28"/>
        </w:rPr>
        <w:t>nalidade com efeitos “erga omnes”.</w:t>
      </w:r>
    </w:p>
    <w:p w:rsidR="00E044C1" w:rsidRPr="000B32BA" w:rsidRDefault="00FD66C9" w:rsidP="00635FC5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Sem esquecer que em França na “questão prioritária de constitu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c</w:t>
      </w:r>
      <w:r w:rsidR="00256CA0" w:rsidRPr="000B32BA">
        <w:rPr>
          <w:sz w:val="28"/>
          <w:szCs w:val="28"/>
        </w:rPr>
        <w:t>ionalidade”</w:t>
      </w:r>
      <w:r w:rsidR="00635FC5" w:rsidRPr="000B32BA">
        <w:rPr>
          <w:sz w:val="28"/>
          <w:szCs w:val="28"/>
        </w:rPr>
        <w:t xml:space="preserve"> (QPC)</w:t>
      </w:r>
      <w:r w:rsidR="00256CA0" w:rsidRPr="000B32BA">
        <w:rPr>
          <w:sz w:val="28"/>
          <w:szCs w:val="28"/>
        </w:rPr>
        <w:t>, recentemente insti</w:t>
      </w:r>
      <w:r w:rsidRPr="000B32BA">
        <w:rPr>
          <w:sz w:val="28"/>
          <w:szCs w:val="28"/>
        </w:rPr>
        <w:t>tuída, nem o Ministério Públi</w:t>
      </w:r>
      <w:r w:rsidR="008A0F05">
        <w:rPr>
          <w:sz w:val="28"/>
          <w:szCs w:val="28"/>
        </w:rPr>
        <w:t>c</w:t>
      </w:r>
      <w:r w:rsidRPr="000B32BA">
        <w:rPr>
          <w:sz w:val="28"/>
          <w:szCs w:val="28"/>
        </w:rPr>
        <w:t>o nem o Juiz, “de officio”, podem suscitar a questão da inconstitucio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nalidade, sendo esta reservada </w:t>
      </w:r>
      <w:r w:rsidR="00256CA0" w:rsidRPr="000B32BA">
        <w:rPr>
          <w:sz w:val="28"/>
          <w:szCs w:val="28"/>
        </w:rPr>
        <w:t>às partes, ainda que com concen</w:t>
      </w:r>
      <w:r w:rsidRPr="000B32BA">
        <w:rPr>
          <w:sz w:val="28"/>
          <w:szCs w:val="28"/>
        </w:rPr>
        <w:t xml:space="preserve">tração da decisão </w:t>
      </w:r>
      <w:r w:rsidR="00635FC5" w:rsidRPr="000B32BA">
        <w:rPr>
          <w:sz w:val="28"/>
          <w:szCs w:val="28"/>
        </w:rPr>
        <w:t xml:space="preserve">de constitucionalidade </w:t>
      </w:r>
      <w:r w:rsidRPr="000B32BA">
        <w:rPr>
          <w:sz w:val="28"/>
          <w:szCs w:val="28"/>
        </w:rPr>
        <w:t>no Conselho Constitucional.</w:t>
      </w:r>
      <w:r w:rsidR="00635FC5" w:rsidRPr="000B32BA">
        <w:rPr>
          <w:sz w:val="28"/>
          <w:szCs w:val="28"/>
        </w:rPr>
        <w:t xml:space="preserve"> </w:t>
      </w:r>
    </w:p>
    <w:p w:rsidR="00635FC5" w:rsidRPr="000B32BA" w:rsidRDefault="00635FC5" w:rsidP="00635FC5">
      <w:pPr>
        <w:spacing w:line="360" w:lineRule="auto"/>
        <w:ind w:firstLine="567"/>
        <w:jc w:val="both"/>
        <w:rPr>
          <w:sz w:val="28"/>
          <w:szCs w:val="28"/>
        </w:rPr>
      </w:pPr>
    </w:p>
    <w:p w:rsidR="00E044C1" w:rsidRPr="000B32BA" w:rsidRDefault="00E044C1" w:rsidP="00507D74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i/>
          <w:sz w:val="28"/>
          <w:szCs w:val="28"/>
        </w:rPr>
        <w:t xml:space="preserve">I) “A querela doutrinária </w:t>
      </w:r>
      <w:r w:rsidR="003D7F73" w:rsidRPr="000B32BA">
        <w:rPr>
          <w:i/>
          <w:sz w:val="28"/>
          <w:szCs w:val="28"/>
        </w:rPr>
        <w:t>quanto a</w:t>
      </w:r>
      <w:r w:rsidRPr="000B32BA">
        <w:rPr>
          <w:i/>
          <w:sz w:val="28"/>
          <w:szCs w:val="28"/>
        </w:rPr>
        <w:t xml:space="preserve"> divergências </w:t>
      </w:r>
      <w:r w:rsidR="0079668F" w:rsidRPr="000B32BA">
        <w:rPr>
          <w:i/>
          <w:sz w:val="28"/>
          <w:szCs w:val="28"/>
        </w:rPr>
        <w:t>entre as normas constitucionais escritas”</w:t>
      </w:r>
    </w:p>
    <w:p w:rsidR="0079668F" w:rsidRPr="000B32BA" w:rsidRDefault="0079668F" w:rsidP="00E044C1">
      <w:pPr>
        <w:spacing w:line="360" w:lineRule="auto"/>
        <w:jc w:val="both"/>
        <w:rPr>
          <w:sz w:val="28"/>
          <w:szCs w:val="28"/>
        </w:rPr>
      </w:pPr>
    </w:p>
    <w:p w:rsidR="003D7F73" w:rsidRPr="000B32BA" w:rsidRDefault="003D7F73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Reporta o candidato a existência de uma “querela doutrinária” quanto a “divergências entre as normas constitucionais escritas”</w:t>
      </w:r>
      <w:r w:rsidR="00635FC5" w:rsidRPr="000B32BA">
        <w:rPr>
          <w:rStyle w:val="ncoradanotaderodap"/>
          <w:sz w:val="28"/>
          <w:szCs w:val="28"/>
        </w:rPr>
        <w:footnoteReference w:id="16"/>
      </w:r>
      <w:r w:rsidRPr="000B32BA">
        <w:rPr>
          <w:sz w:val="28"/>
          <w:szCs w:val="28"/>
        </w:rPr>
        <w:t>.</w:t>
      </w:r>
    </w:p>
    <w:p w:rsidR="00256CA0" w:rsidRPr="000B32BA" w:rsidRDefault="003D7F73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Se me permite</w:t>
      </w:r>
      <w:r w:rsidR="00635FC5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deveria o</w:t>
      </w:r>
      <w:r w:rsidR="00256CA0" w:rsidRPr="000B32BA">
        <w:rPr>
          <w:sz w:val="28"/>
          <w:szCs w:val="28"/>
        </w:rPr>
        <w:t xml:space="preserve"> </w:t>
      </w:r>
      <w:r w:rsidRPr="000B32BA">
        <w:rPr>
          <w:sz w:val="28"/>
          <w:szCs w:val="28"/>
        </w:rPr>
        <w:t>candidato ter procedido, “ex ante” à di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>ferenciaç</w:t>
      </w:r>
      <w:r w:rsidR="00256CA0" w:rsidRPr="000B32BA">
        <w:rPr>
          <w:sz w:val="28"/>
          <w:szCs w:val="28"/>
        </w:rPr>
        <w:t>ão entre “dispositivo” ou “enun</w:t>
      </w:r>
      <w:r w:rsidRPr="000B32BA">
        <w:rPr>
          <w:sz w:val="28"/>
          <w:szCs w:val="28"/>
        </w:rPr>
        <w:t xml:space="preserve">ciado linguístico” e a “norma </w:t>
      </w:r>
      <w:r w:rsidRPr="000B32BA">
        <w:rPr>
          <w:sz w:val="28"/>
          <w:szCs w:val="28"/>
        </w:rPr>
        <w:lastRenderedPageBreak/>
        <w:t>constitucional”. Es</w:t>
      </w:r>
      <w:r w:rsidR="00256CA0" w:rsidRPr="000B32BA">
        <w:rPr>
          <w:sz w:val="28"/>
          <w:szCs w:val="28"/>
        </w:rPr>
        <w:t>ta últi</w:t>
      </w:r>
      <w:r w:rsidRPr="000B32BA">
        <w:rPr>
          <w:sz w:val="28"/>
          <w:szCs w:val="28"/>
        </w:rPr>
        <w:t xml:space="preserve">ma </w:t>
      </w:r>
      <w:r w:rsidR="00256CA0" w:rsidRPr="000B32BA">
        <w:rPr>
          <w:sz w:val="28"/>
          <w:szCs w:val="28"/>
        </w:rPr>
        <w:t>não é um “prius, mas o “resulta</w:t>
      </w:r>
      <w:r w:rsidR="00635FC5" w:rsidRPr="000B32BA">
        <w:rPr>
          <w:sz w:val="28"/>
          <w:szCs w:val="28"/>
        </w:rPr>
        <w:t>do</w:t>
      </w:r>
      <w:r w:rsidR="00256CA0" w:rsidRPr="000B32BA">
        <w:rPr>
          <w:sz w:val="28"/>
          <w:szCs w:val="28"/>
        </w:rPr>
        <w:t xml:space="preserve">” </w:t>
      </w:r>
      <w:r w:rsidRPr="000B32BA">
        <w:rPr>
          <w:sz w:val="28"/>
          <w:szCs w:val="28"/>
        </w:rPr>
        <w:t>da in</w:t>
      </w:r>
      <w:r w:rsidR="00DC5090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terpretação. </w:t>
      </w:r>
    </w:p>
    <w:p w:rsidR="003D7F73" w:rsidRPr="000B32BA" w:rsidRDefault="003D7F73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Sendo o enunciado linguístico “plurissignificativo” ─ e de “textura aberta” ─ é natural que surja</w:t>
      </w:r>
      <w:r w:rsidR="00256CA0" w:rsidRPr="000B32BA">
        <w:rPr>
          <w:sz w:val="28"/>
          <w:szCs w:val="28"/>
        </w:rPr>
        <w:t>m divergências na respectiva in</w:t>
      </w:r>
      <w:r w:rsidRPr="000B32BA">
        <w:rPr>
          <w:sz w:val="28"/>
          <w:szCs w:val="28"/>
        </w:rPr>
        <w:t xml:space="preserve">terpretação e aplicação </w:t>
      </w:r>
      <w:r w:rsidR="00635FC5" w:rsidRPr="000B32BA">
        <w:rPr>
          <w:sz w:val="28"/>
          <w:szCs w:val="28"/>
        </w:rPr>
        <w:t>ju</w:t>
      </w:r>
      <w:r w:rsidR="00F16338">
        <w:rPr>
          <w:sz w:val="28"/>
          <w:szCs w:val="28"/>
        </w:rPr>
        <w:t>ris</w:t>
      </w:r>
      <w:r w:rsidRPr="000B32BA">
        <w:rPr>
          <w:sz w:val="28"/>
          <w:szCs w:val="28"/>
        </w:rPr>
        <w:t>dicional.</w:t>
      </w:r>
    </w:p>
    <w:p w:rsidR="003D7F73" w:rsidRPr="000B32BA" w:rsidRDefault="003D7F73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Isto, sobretudo, em sede da chamada “parte dogmática” da Cons</w:t>
      </w:r>
      <w:r w:rsidR="00F16338">
        <w:rPr>
          <w:sz w:val="28"/>
          <w:szCs w:val="28"/>
        </w:rPr>
        <w:t>-</w:t>
      </w:r>
      <w:r w:rsidRPr="000B32BA">
        <w:rPr>
          <w:sz w:val="28"/>
          <w:szCs w:val="28"/>
        </w:rPr>
        <w:t>tituição”. Em sede</w:t>
      </w:r>
      <w:r w:rsidR="00256CA0" w:rsidRPr="000B32BA">
        <w:rPr>
          <w:sz w:val="28"/>
          <w:szCs w:val="28"/>
        </w:rPr>
        <w:t xml:space="preserve"> organizacional</w:t>
      </w:r>
      <w:r w:rsidR="0060187F" w:rsidRPr="000B32BA">
        <w:rPr>
          <w:sz w:val="28"/>
          <w:szCs w:val="28"/>
        </w:rPr>
        <w:t xml:space="preserve">, a densificação constitucional é mais estrita, quando não mesmo </w:t>
      </w:r>
      <w:r w:rsidR="00635FC5" w:rsidRPr="000B32BA">
        <w:rPr>
          <w:sz w:val="28"/>
          <w:szCs w:val="28"/>
        </w:rPr>
        <w:t>enumerada</w:t>
      </w:r>
      <w:r w:rsidR="0060187F" w:rsidRPr="000B32BA">
        <w:rPr>
          <w:sz w:val="28"/>
          <w:szCs w:val="28"/>
        </w:rPr>
        <w:t xml:space="preserve">, já que se reporta a </w:t>
      </w:r>
      <w:r w:rsidR="0060187F" w:rsidRPr="000B32BA">
        <w:rPr>
          <w:i/>
          <w:sz w:val="28"/>
          <w:szCs w:val="28"/>
        </w:rPr>
        <w:t>normas de organização</w:t>
      </w:r>
      <w:r w:rsidR="00256CA0" w:rsidRPr="000B32BA">
        <w:rPr>
          <w:sz w:val="28"/>
          <w:szCs w:val="28"/>
        </w:rPr>
        <w:t xml:space="preserve">, </w:t>
      </w:r>
      <w:r w:rsidR="00256CA0" w:rsidRPr="000B32BA">
        <w:rPr>
          <w:i/>
          <w:sz w:val="28"/>
          <w:szCs w:val="28"/>
        </w:rPr>
        <w:t>procedimento</w:t>
      </w:r>
      <w:r w:rsidR="0060187F" w:rsidRPr="000B32BA">
        <w:rPr>
          <w:sz w:val="28"/>
          <w:szCs w:val="28"/>
        </w:rPr>
        <w:t xml:space="preserve"> e </w:t>
      </w:r>
      <w:r w:rsidR="0060187F" w:rsidRPr="000B32BA">
        <w:rPr>
          <w:i/>
          <w:sz w:val="28"/>
          <w:szCs w:val="28"/>
        </w:rPr>
        <w:t>competência</w:t>
      </w:r>
      <w:r w:rsidR="007E6B2D" w:rsidRPr="000B32BA">
        <w:rPr>
          <w:sz w:val="28"/>
          <w:szCs w:val="28"/>
        </w:rPr>
        <w:t>, e que não devem quedar sujeitas</w:t>
      </w:r>
      <w:r w:rsidR="00F16338">
        <w:rPr>
          <w:sz w:val="28"/>
          <w:szCs w:val="28"/>
        </w:rPr>
        <w:t xml:space="preserve"> </w:t>
      </w:r>
      <w:r w:rsidR="007E6B2D" w:rsidRPr="000B32BA">
        <w:rPr>
          <w:sz w:val="28"/>
          <w:szCs w:val="28"/>
        </w:rPr>
        <w:t xml:space="preserve">a um princípio de “reserva de lei”. </w:t>
      </w:r>
    </w:p>
    <w:p w:rsidR="0060187F" w:rsidRPr="000B32BA" w:rsidRDefault="0060187F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</w:t>
      </w:r>
      <w:r w:rsidR="00635FC5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em matéria de Direito Constituciona</w:t>
      </w:r>
      <w:r w:rsidR="00256CA0" w:rsidRPr="000B32BA">
        <w:rPr>
          <w:sz w:val="28"/>
          <w:szCs w:val="28"/>
        </w:rPr>
        <w:t>l</w:t>
      </w:r>
      <w:r w:rsidR="00635FC5" w:rsidRPr="000B32BA">
        <w:rPr>
          <w:sz w:val="28"/>
          <w:szCs w:val="28"/>
        </w:rPr>
        <w:t>, a com</w:t>
      </w:r>
      <w:r w:rsidR="00256CA0" w:rsidRPr="000B32BA">
        <w:rPr>
          <w:sz w:val="28"/>
          <w:szCs w:val="28"/>
        </w:rPr>
        <w:t>petência não se presume. Deve quedar especifica</w:t>
      </w:r>
      <w:r w:rsidR="00635FC5" w:rsidRPr="000B32BA">
        <w:rPr>
          <w:sz w:val="28"/>
          <w:szCs w:val="28"/>
        </w:rPr>
        <w:t xml:space="preserve">da e </w:t>
      </w:r>
      <w:r w:rsidR="00256CA0" w:rsidRPr="000B32BA">
        <w:rPr>
          <w:sz w:val="28"/>
          <w:szCs w:val="28"/>
        </w:rPr>
        <w:t>determinada.</w:t>
      </w:r>
      <w:r w:rsidRPr="000B32BA">
        <w:rPr>
          <w:sz w:val="28"/>
          <w:szCs w:val="28"/>
        </w:rPr>
        <w:t xml:space="preserve"> </w:t>
      </w:r>
      <w:r w:rsidR="008A6147" w:rsidRPr="000B32BA">
        <w:rPr>
          <w:sz w:val="28"/>
          <w:szCs w:val="28"/>
        </w:rPr>
        <w:t>Tratando-se de “ór</w:t>
      </w:r>
      <w:r w:rsidR="00F16338">
        <w:rPr>
          <w:sz w:val="28"/>
          <w:szCs w:val="28"/>
        </w:rPr>
        <w:t>-</w:t>
      </w:r>
      <w:r w:rsidR="008A6147" w:rsidRPr="000B32BA">
        <w:rPr>
          <w:sz w:val="28"/>
          <w:szCs w:val="28"/>
        </w:rPr>
        <w:t>gãos de soberania” deve quedar fixada e enumerada na Constituição da República.</w:t>
      </w:r>
    </w:p>
    <w:p w:rsidR="0060187F" w:rsidRPr="000B32BA" w:rsidRDefault="00256CA0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Assim sendo, </w:t>
      </w:r>
      <w:r w:rsidR="0060187F" w:rsidRPr="000B32BA">
        <w:rPr>
          <w:sz w:val="28"/>
          <w:szCs w:val="28"/>
        </w:rPr>
        <w:t xml:space="preserve">Senhor candidato, não se critica o “positivismo”, supõe-se que </w:t>
      </w:r>
      <w:r w:rsidR="008E1C78" w:rsidRPr="000B32BA">
        <w:rPr>
          <w:sz w:val="28"/>
          <w:szCs w:val="28"/>
        </w:rPr>
        <w:t>“</w:t>
      </w:r>
      <w:r w:rsidR="0060187F" w:rsidRPr="000B32BA">
        <w:rPr>
          <w:sz w:val="28"/>
          <w:szCs w:val="28"/>
        </w:rPr>
        <w:t>normativista”</w:t>
      </w:r>
      <w:r w:rsidRPr="000B32BA">
        <w:rPr>
          <w:sz w:val="28"/>
          <w:szCs w:val="28"/>
        </w:rPr>
        <w:t>,</w:t>
      </w:r>
      <w:r w:rsidR="0060187F" w:rsidRPr="000B32BA">
        <w:rPr>
          <w:sz w:val="28"/>
          <w:szCs w:val="28"/>
        </w:rPr>
        <w:t xml:space="preserve"> utilizando um “modelo puro de regras”, na expressão de Robert ALEXY</w:t>
      </w:r>
      <w:r w:rsidR="008E1C78" w:rsidRPr="00F16338">
        <w:rPr>
          <w:rStyle w:val="ncoradanotaderodap"/>
        </w:rPr>
        <w:footnoteReference w:id="17"/>
      </w:r>
      <w:r w:rsidR="008E1C78" w:rsidRPr="000B32BA">
        <w:rPr>
          <w:sz w:val="28"/>
          <w:szCs w:val="28"/>
        </w:rPr>
        <w:t xml:space="preserve">. </w:t>
      </w:r>
    </w:p>
    <w:p w:rsidR="008E1C78" w:rsidRPr="000B32BA" w:rsidRDefault="008E1C78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Ao não proceder a essa distinção, incluindo entre regras e princípios jurídicos, o candidato remete parte das questões e problemas elencados para o domínio das “lacunas”.</w:t>
      </w:r>
    </w:p>
    <w:p w:rsidR="008E1C78" w:rsidRPr="000B32BA" w:rsidRDefault="00256CA0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 </w:t>
      </w:r>
      <w:r w:rsidR="008E1C78" w:rsidRPr="000B32BA">
        <w:rPr>
          <w:sz w:val="28"/>
          <w:szCs w:val="28"/>
        </w:rPr>
        <w:t>as “lacunas” em Direito Constitucional</w:t>
      </w:r>
      <w:r w:rsidR="00E878FF" w:rsidRPr="000B32BA">
        <w:rPr>
          <w:sz w:val="28"/>
          <w:szCs w:val="28"/>
        </w:rPr>
        <w:t xml:space="preserve"> </w:t>
      </w:r>
      <w:r w:rsidR="008E1C78" w:rsidRPr="000B32BA">
        <w:rPr>
          <w:sz w:val="28"/>
          <w:szCs w:val="28"/>
        </w:rPr>
        <w:t xml:space="preserve">são </w:t>
      </w:r>
      <w:r w:rsidRPr="000B32BA">
        <w:rPr>
          <w:sz w:val="28"/>
          <w:szCs w:val="28"/>
        </w:rPr>
        <w:t>“</w:t>
      </w:r>
      <w:r w:rsidR="008E1C78" w:rsidRPr="000B32BA">
        <w:rPr>
          <w:sz w:val="28"/>
          <w:szCs w:val="28"/>
        </w:rPr>
        <w:t>la</w:t>
      </w:r>
      <w:r w:rsidR="00BD7374" w:rsidRPr="000B32BA">
        <w:rPr>
          <w:sz w:val="28"/>
          <w:szCs w:val="28"/>
        </w:rPr>
        <w:t>cunas de poder</w:t>
      </w:r>
      <w:r w:rsidRPr="000B32BA">
        <w:rPr>
          <w:sz w:val="28"/>
          <w:szCs w:val="28"/>
        </w:rPr>
        <w:t>”</w:t>
      </w:r>
      <w:r w:rsidR="00E878FF" w:rsidRPr="000B32BA">
        <w:rPr>
          <w:sz w:val="28"/>
          <w:szCs w:val="28"/>
        </w:rPr>
        <w:t xml:space="preserve"> (: </w:t>
      </w:r>
      <w:r w:rsidR="00E878FF" w:rsidRPr="000B32BA">
        <w:rPr>
          <w:i/>
          <w:color w:val="333333"/>
          <w:sz w:val="28"/>
          <w:szCs w:val="28"/>
        </w:rPr>
        <w:t>Lückentheorie</w:t>
      </w:r>
      <w:r w:rsidR="00E878FF" w:rsidRPr="000B32BA">
        <w:rPr>
          <w:color w:val="333333"/>
          <w:sz w:val="28"/>
          <w:szCs w:val="28"/>
        </w:rPr>
        <w:t>)</w:t>
      </w:r>
      <w:r w:rsidR="00BD7374" w:rsidRPr="000B32BA">
        <w:rPr>
          <w:sz w:val="28"/>
          <w:szCs w:val="28"/>
        </w:rPr>
        <w:t>. A aprovação do O</w:t>
      </w:r>
      <w:r w:rsidR="008E1C78" w:rsidRPr="000B32BA">
        <w:rPr>
          <w:sz w:val="28"/>
          <w:szCs w:val="28"/>
        </w:rPr>
        <w:t>rçamento</w:t>
      </w:r>
      <w:r w:rsidR="00BD7374" w:rsidRPr="000B32BA">
        <w:rPr>
          <w:sz w:val="28"/>
          <w:szCs w:val="28"/>
        </w:rPr>
        <w:t xml:space="preserve"> do Estado</w:t>
      </w:r>
      <w:r w:rsidR="00E878FF" w:rsidRPr="000B32BA">
        <w:rPr>
          <w:sz w:val="28"/>
          <w:szCs w:val="28"/>
        </w:rPr>
        <w:t xml:space="preserve"> do Reino da Prússia,</w:t>
      </w:r>
      <w:r w:rsidR="00BD7374" w:rsidRPr="000B32BA">
        <w:rPr>
          <w:sz w:val="28"/>
          <w:szCs w:val="28"/>
        </w:rPr>
        <w:t xml:space="preserve"> no período bismarkiano</w:t>
      </w:r>
      <w:r w:rsidR="00E47CBA" w:rsidRPr="000B32BA">
        <w:rPr>
          <w:sz w:val="28"/>
          <w:szCs w:val="28"/>
        </w:rPr>
        <w:t xml:space="preserve"> (1863-1866)</w:t>
      </w:r>
      <w:r w:rsidR="00E878FF" w:rsidRPr="000B32BA">
        <w:rPr>
          <w:sz w:val="28"/>
          <w:szCs w:val="28"/>
        </w:rPr>
        <w:t>,</w:t>
      </w:r>
      <w:r w:rsidR="00BD7374" w:rsidRPr="000B32BA">
        <w:rPr>
          <w:sz w:val="28"/>
          <w:szCs w:val="28"/>
        </w:rPr>
        <w:t xml:space="preserve"> assim o demonstrou.</w:t>
      </w:r>
      <w:r w:rsidR="00A83674" w:rsidRPr="000B32BA">
        <w:rPr>
          <w:sz w:val="28"/>
          <w:szCs w:val="28"/>
        </w:rPr>
        <w:t xml:space="preserve"> Pau</w:t>
      </w:r>
      <w:r w:rsidR="00635FC5" w:rsidRPr="000B32BA">
        <w:rPr>
          <w:sz w:val="28"/>
          <w:szCs w:val="28"/>
        </w:rPr>
        <w:t>l LA</w:t>
      </w:r>
      <w:r w:rsidR="00A83674" w:rsidRPr="000B32BA">
        <w:rPr>
          <w:sz w:val="28"/>
          <w:szCs w:val="28"/>
        </w:rPr>
        <w:t>BAND</w:t>
      </w:r>
      <w:r w:rsidR="00635FC5" w:rsidRPr="00F16338">
        <w:rPr>
          <w:rStyle w:val="ncoradanotaderodap"/>
        </w:rPr>
        <w:footnoteReference w:id="18"/>
      </w:r>
      <w:r w:rsidR="00A83674" w:rsidRPr="000B32BA">
        <w:rPr>
          <w:sz w:val="28"/>
          <w:szCs w:val="28"/>
        </w:rPr>
        <w:t xml:space="preserve">, </w:t>
      </w:r>
      <w:r w:rsidR="00A83674" w:rsidRPr="000B32BA">
        <w:rPr>
          <w:i/>
          <w:sz w:val="28"/>
          <w:szCs w:val="28"/>
        </w:rPr>
        <w:t>dixit</w:t>
      </w:r>
      <w:r w:rsidR="00A83674" w:rsidRPr="000B32BA">
        <w:rPr>
          <w:sz w:val="28"/>
          <w:szCs w:val="28"/>
        </w:rPr>
        <w:t>.</w:t>
      </w:r>
    </w:p>
    <w:p w:rsidR="00BD7374" w:rsidRPr="000B32BA" w:rsidRDefault="00BD7374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lastRenderedPageBreak/>
        <w:t xml:space="preserve">Um sistema </w:t>
      </w:r>
      <w:r w:rsidR="00256CA0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aberto</w:t>
      </w:r>
      <w:r w:rsidR="00256CA0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e </w:t>
      </w:r>
      <w:r w:rsidR="00256CA0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democrático</w:t>
      </w:r>
      <w:r w:rsidR="00256CA0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não contém lacunas, antes diferentes possibilidades de interpretação no quadro não de um modelo puro de regras, mas de um modelo de regras e princípios jurídicos.</w:t>
      </w:r>
      <w:r w:rsidR="00E878FF" w:rsidRPr="000B32BA">
        <w:rPr>
          <w:sz w:val="28"/>
          <w:szCs w:val="28"/>
        </w:rPr>
        <w:t xml:space="preserve"> Um projecto “in fieri”</w:t>
      </w:r>
      <w:r w:rsidR="00635FC5" w:rsidRPr="000B32BA">
        <w:rPr>
          <w:sz w:val="28"/>
          <w:szCs w:val="28"/>
        </w:rPr>
        <w:t xml:space="preserve">. </w:t>
      </w:r>
    </w:p>
    <w:p w:rsidR="00BD7374" w:rsidRPr="000B32BA" w:rsidRDefault="00BD7374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E, no caso da República de Moçambique, o que o candidato nos relata é a ausência de normas de </w:t>
      </w:r>
      <w:r w:rsidR="00A83674" w:rsidRPr="000B32BA">
        <w:rPr>
          <w:sz w:val="28"/>
          <w:szCs w:val="28"/>
        </w:rPr>
        <w:t>“</w:t>
      </w:r>
      <w:r w:rsidR="00F16338">
        <w:rPr>
          <w:sz w:val="28"/>
          <w:szCs w:val="28"/>
        </w:rPr>
        <w:t>organi</w:t>
      </w:r>
      <w:r w:rsidRPr="000B32BA">
        <w:rPr>
          <w:sz w:val="28"/>
          <w:szCs w:val="28"/>
        </w:rPr>
        <w:t>zação</w:t>
      </w:r>
      <w:r w:rsidR="00A83674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e </w:t>
      </w:r>
      <w:r w:rsidR="00A83674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procedimento</w:t>
      </w:r>
      <w:r w:rsidR="00A83674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>, em particular, no que concerne ao direito fundamental de acesso dos ci</w:t>
      </w:r>
      <w:r w:rsidR="00F16338">
        <w:rPr>
          <w:sz w:val="28"/>
          <w:szCs w:val="28"/>
        </w:rPr>
        <w:t>-</w:t>
      </w:r>
      <w:r w:rsidRPr="000B32BA">
        <w:rPr>
          <w:sz w:val="28"/>
          <w:szCs w:val="28"/>
        </w:rPr>
        <w:t>dadãos à Justiça e aos Tribunais</w:t>
      </w:r>
      <w:r w:rsidR="008A6147" w:rsidRPr="000B32BA">
        <w:rPr>
          <w:sz w:val="28"/>
          <w:szCs w:val="28"/>
        </w:rPr>
        <w:t>, e a respectiva sujeição a um princípio de “reserva de lei”.</w:t>
      </w:r>
      <w:r w:rsidRPr="000B32BA">
        <w:rPr>
          <w:sz w:val="28"/>
          <w:szCs w:val="28"/>
        </w:rPr>
        <w:t xml:space="preserve"> </w:t>
      </w:r>
      <w:r w:rsidRPr="000B32BA">
        <w:rPr>
          <w:i/>
          <w:sz w:val="28"/>
          <w:szCs w:val="28"/>
        </w:rPr>
        <w:t>Brevitatis causa</w:t>
      </w:r>
      <w:r w:rsidRPr="000B32BA">
        <w:rPr>
          <w:sz w:val="28"/>
          <w:szCs w:val="28"/>
        </w:rPr>
        <w:t>, a ausência de um “status activus processualis”</w:t>
      </w:r>
      <w:r w:rsidR="00A83674" w:rsidRPr="000B32BA">
        <w:rPr>
          <w:sz w:val="28"/>
          <w:szCs w:val="28"/>
        </w:rPr>
        <w:t>, na terminologia de Peter HÄBE</w:t>
      </w:r>
      <w:r w:rsidRPr="000B32BA">
        <w:rPr>
          <w:sz w:val="28"/>
          <w:szCs w:val="28"/>
        </w:rPr>
        <w:t>RLE</w:t>
      </w:r>
      <w:r w:rsidRPr="00F16338">
        <w:rPr>
          <w:rStyle w:val="ncoradanotaderodap"/>
        </w:rPr>
        <w:footnoteReference w:id="19"/>
      </w:r>
      <w:r w:rsidRPr="000B32BA">
        <w:rPr>
          <w:sz w:val="28"/>
          <w:szCs w:val="28"/>
        </w:rPr>
        <w:t>.</w:t>
      </w:r>
    </w:p>
    <w:p w:rsidR="00BD7374" w:rsidRPr="000B32BA" w:rsidRDefault="00BD7374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 o “dever de legislar</w:t>
      </w:r>
      <w:r w:rsidR="00AC17A4" w:rsidRPr="000B32BA">
        <w:rPr>
          <w:sz w:val="28"/>
          <w:szCs w:val="28"/>
        </w:rPr>
        <w:t>”</w:t>
      </w:r>
      <w:r w:rsidR="00635FC5" w:rsidRPr="000B32BA">
        <w:rPr>
          <w:sz w:val="28"/>
          <w:szCs w:val="28"/>
        </w:rPr>
        <w:t>,</w:t>
      </w:r>
      <w:r w:rsidR="00AC17A4" w:rsidRPr="000B32BA">
        <w:rPr>
          <w:sz w:val="28"/>
          <w:szCs w:val="28"/>
        </w:rPr>
        <w:t xml:space="preserve"> como imposição jurí</w:t>
      </w:r>
      <w:r w:rsidRPr="000B32BA">
        <w:rPr>
          <w:sz w:val="28"/>
          <w:szCs w:val="28"/>
        </w:rPr>
        <w:t xml:space="preserve">dico-constitucional, </w:t>
      </w:r>
      <w:r w:rsidR="00AC17A4" w:rsidRPr="000B32BA">
        <w:rPr>
          <w:sz w:val="28"/>
          <w:szCs w:val="28"/>
        </w:rPr>
        <w:t xml:space="preserve">comporta a distinção </w:t>
      </w:r>
      <w:r w:rsidRPr="000B32BA">
        <w:rPr>
          <w:sz w:val="28"/>
          <w:szCs w:val="28"/>
        </w:rPr>
        <w:t>entre “imposições abstractas”,</w:t>
      </w:r>
      <w:r w:rsidR="00AC17A4" w:rsidRPr="000B32BA">
        <w:rPr>
          <w:sz w:val="28"/>
          <w:szCs w:val="28"/>
        </w:rPr>
        <w:t xml:space="preserve"> “imposições </w:t>
      </w:r>
      <w:r w:rsidR="00F16338">
        <w:rPr>
          <w:sz w:val="28"/>
          <w:szCs w:val="28"/>
        </w:rPr>
        <w:t>con-</w:t>
      </w:r>
      <w:r w:rsidR="00AC17A4" w:rsidRPr="000B32BA">
        <w:rPr>
          <w:sz w:val="28"/>
          <w:szCs w:val="28"/>
        </w:rPr>
        <w:t>cretas” e “ordens</w:t>
      </w:r>
      <w:r w:rsidRPr="000B32BA">
        <w:rPr>
          <w:sz w:val="28"/>
          <w:szCs w:val="28"/>
        </w:rPr>
        <w:t xml:space="preserve"> de legislar”</w:t>
      </w:r>
      <w:r w:rsidRPr="00F16338">
        <w:rPr>
          <w:rStyle w:val="ncoradanotaderodap"/>
        </w:rPr>
        <w:footnoteReference w:id="20"/>
      </w:r>
      <w:r w:rsidR="00635FC5" w:rsidRPr="000B32BA">
        <w:rPr>
          <w:sz w:val="28"/>
          <w:szCs w:val="28"/>
        </w:rPr>
        <w:t xml:space="preserve">. </w:t>
      </w:r>
      <w:r w:rsidR="00AC17A4" w:rsidRPr="000B32BA">
        <w:rPr>
          <w:sz w:val="28"/>
          <w:szCs w:val="28"/>
        </w:rPr>
        <w:t>E</w:t>
      </w:r>
      <w:r w:rsidRPr="000B32BA">
        <w:rPr>
          <w:sz w:val="28"/>
          <w:szCs w:val="28"/>
        </w:rPr>
        <w:t xml:space="preserve"> não se confunde com o “dever de protecção” </w:t>
      </w:r>
      <w:r w:rsidR="00635FC5" w:rsidRPr="000B32BA">
        <w:rPr>
          <w:sz w:val="28"/>
          <w:szCs w:val="28"/>
        </w:rPr>
        <w:t>(</w:t>
      </w:r>
      <w:r w:rsidR="00635FC5" w:rsidRPr="000B32BA">
        <w:rPr>
          <w:i/>
          <w:sz w:val="28"/>
          <w:szCs w:val="28"/>
        </w:rPr>
        <w:t>Schtuzpflich</w:t>
      </w:r>
      <w:r w:rsidR="00635FC5" w:rsidRPr="000B32BA">
        <w:rPr>
          <w:sz w:val="28"/>
          <w:szCs w:val="28"/>
        </w:rPr>
        <w:t xml:space="preserve">) </w:t>
      </w:r>
      <w:r w:rsidRPr="000B32BA">
        <w:rPr>
          <w:sz w:val="28"/>
          <w:szCs w:val="28"/>
        </w:rPr>
        <w:t>dos direitos e liberdades fundamentais a cargo das autoridades públicas</w:t>
      </w:r>
      <w:r w:rsidR="00AC17A4" w:rsidRPr="000B32BA">
        <w:rPr>
          <w:sz w:val="28"/>
          <w:szCs w:val="28"/>
        </w:rPr>
        <w:t xml:space="preserve">, que é o que me parece resultar como </w:t>
      </w:r>
      <w:r w:rsidR="007C27C3" w:rsidRPr="000B32BA">
        <w:rPr>
          <w:sz w:val="28"/>
          <w:szCs w:val="28"/>
        </w:rPr>
        <w:t xml:space="preserve">conclusão </w:t>
      </w:r>
      <w:r w:rsidR="00AC17A4" w:rsidRPr="000B32BA">
        <w:rPr>
          <w:sz w:val="28"/>
          <w:szCs w:val="28"/>
        </w:rPr>
        <w:t>da presente Dissertação</w:t>
      </w:r>
      <w:r w:rsidRPr="000B32BA">
        <w:rPr>
          <w:sz w:val="28"/>
          <w:szCs w:val="28"/>
        </w:rPr>
        <w:t xml:space="preserve">. </w:t>
      </w:r>
    </w:p>
    <w:p w:rsidR="00B53BA8" w:rsidRPr="000B32BA" w:rsidRDefault="00B53BA8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No que concerne ao “dever de constituciona</w:t>
      </w:r>
      <w:r w:rsidR="007C27C3" w:rsidRPr="000B32BA">
        <w:rPr>
          <w:sz w:val="28"/>
          <w:szCs w:val="28"/>
        </w:rPr>
        <w:t>li</w:t>
      </w:r>
      <w:r w:rsidR="00AC17A4" w:rsidRPr="000B32BA">
        <w:rPr>
          <w:sz w:val="28"/>
          <w:szCs w:val="28"/>
        </w:rPr>
        <w:t>zação”</w:t>
      </w:r>
      <w:r w:rsidRPr="000B32BA">
        <w:rPr>
          <w:sz w:val="28"/>
          <w:szCs w:val="28"/>
        </w:rPr>
        <w:t>, haverá que distinguir “ante literam” três</w:t>
      </w:r>
      <w:r w:rsidR="00C11405">
        <w:rPr>
          <w:sz w:val="28"/>
          <w:szCs w:val="28"/>
        </w:rPr>
        <w:t xml:space="preserve"> momentos, e</w:t>
      </w:r>
      <w:r w:rsidR="007C27C3" w:rsidRPr="000B32BA">
        <w:rPr>
          <w:sz w:val="28"/>
          <w:szCs w:val="28"/>
        </w:rPr>
        <w:t>ventualmente dois</w:t>
      </w:r>
      <w:r w:rsidR="00AC17A4" w:rsidRPr="000B32BA">
        <w:rPr>
          <w:sz w:val="28"/>
          <w:szCs w:val="28"/>
        </w:rPr>
        <w:t xml:space="preserve">: </w:t>
      </w:r>
      <w:r w:rsidR="007C27C3" w:rsidRPr="000B32BA">
        <w:rPr>
          <w:sz w:val="28"/>
          <w:szCs w:val="28"/>
        </w:rPr>
        <w:t>o mo</w:t>
      </w:r>
      <w:r w:rsidR="00C11405">
        <w:rPr>
          <w:sz w:val="28"/>
          <w:szCs w:val="28"/>
        </w:rPr>
        <w:t>-</w:t>
      </w:r>
      <w:r w:rsidR="007C27C3" w:rsidRPr="000B32BA">
        <w:rPr>
          <w:sz w:val="28"/>
          <w:szCs w:val="28"/>
        </w:rPr>
        <w:lastRenderedPageBreak/>
        <w:t xml:space="preserve">mento da </w:t>
      </w:r>
      <w:r w:rsidR="00AC17A4" w:rsidRPr="000B32BA">
        <w:rPr>
          <w:sz w:val="28"/>
          <w:szCs w:val="28"/>
        </w:rPr>
        <w:t>“fundamenta</w:t>
      </w:r>
      <w:r w:rsidRPr="000B32BA">
        <w:rPr>
          <w:sz w:val="28"/>
          <w:szCs w:val="28"/>
        </w:rPr>
        <w:t xml:space="preserve">lização”, </w:t>
      </w:r>
      <w:r w:rsidR="007C27C3" w:rsidRPr="000B32BA">
        <w:rPr>
          <w:sz w:val="28"/>
          <w:szCs w:val="28"/>
        </w:rPr>
        <w:t>o momento da</w:t>
      </w:r>
      <w:r w:rsidRPr="000B32BA">
        <w:rPr>
          <w:sz w:val="28"/>
          <w:szCs w:val="28"/>
        </w:rPr>
        <w:t xml:space="preserve"> “positivação”, e, por últi</w:t>
      </w:r>
      <w:r w:rsidR="00C11405">
        <w:rPr>
          <w:sz w:val="28"/>
          <w:szCs w:val="28"/>
        </w:rPr>
        <w:t>-</w:t>
      </w:r>
      <w:r w:rsidRPr="000B32BA">
        <w:rPr>
          <w:sz w:val="28"/>
          <w:szCs w:val="28"/>
        </w:rPr>
        <w:t>mo</w:t>
      </w:r>
      <w:r w:rsidR="007C27C3" w:rsidRPr="000B32BA">
        <w:rPr>
          <w:sz w:val="28"/>
          <w:szCs w:val="28"/>
        </w:rPr>
        <w:t xml:space="preserve">, o momento da </w:t>
      </w:r>
      <w:r w:rsidRPr="000B32BA">
        <w:rPr>
          <w:sz w:val="28"/>
          <w:szCs w:val="28"/>
        </w:rPr>
        <w:t>“constitucionalização”.</w:t>
      </w:r>
    </w:p>
    <w:p w:rsidR="00AC17A4" w:rsidRPr="000B32BA" w:rsidRDefault="00B53BA8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Esse processo de “selecção”</w:t>
      </w:r>
      <w:r w:rsidR="007C27C3" w:rsidRPr="000B32BA">
        <w:rPr>
          <w:sz w:val="28"/>
          <w:szCs w:val="28"/>
        </w:rPr>
        <w:t xml:space="preserve"> </w:t>
      </w:r>
      <w:r w:rsidR="00AC17A4" w:rsidRPr="000B32BA">
        <w:rPr>
          <w:sz w:val="28"/>
          <w:szCs w:val="28"/>
        </w:rPr>
        <w:t>está a cargo do poder constituinte como “decisão política fundamental”</w:t>
      </w:r>
      <w:r w:rsidR="00E878FF" w:rsidRPr="00C11405">
        <w:rPr>
          <w:rStyle w:val="ncoradanotaderodap"/>
        </w:rPr>
        <w:footnoteReference w:id="21"/>
      </w:r>
      <w:r w:rsidR="00AC17A4" w:rsidRPr="000B32BA">
        <w:rPr>
          <w:sz w:val="28"/>
          <w:szCs w:val="28"/>
        </w:rPr>
        <w:t xml:space="preserve">. E resolve </w:t>
      </w:r>
      <w:r w:rsidR="00795044" w:rsidRPr="000B32BA">
        <w:rPr>
          <w:sz w:val="28"/>
          <w:szCs w:val="28"/>
        </w:rPr>
        <w:t>a controvérsia em torno dos “princípios trans</w:t>
      </w:r>
      <w:r w:rsidR="00E878FF" w:rsidRPr="000B32BA">
        <w:rPr>
          <w:sz w:val="28"/>
          <w:szCs w:val="28"/>
        </w:rPr>
        <w:t>cendentais” e os</w:t>
      </w:r>
      <w:r w:rsidR="00795044" w:rsidRPr="000B32BA">
        <w:rPr>
          <w:sz w:val="28"/>
          <w:szCs w:val="28"/>
        </w:rPr>
        <w:t xml:space="preserve"> “limites imanentes”, entre outros, </w:t>
      </w:r>
      <w:r w:rsidR="00AC17A4" w:rsidRPr="000B32BA">
        <w:rPr>
          <w:sz w:val="28"/>
          <w:szCs w:val="28"/>
        </w:rPr>
        <w:t>a</w:t>
      </w:r>
      <w:r w:rsidR="00C11405">
        <w:rPr>
          <w:sz w:val="28"/>
          <w:szCs w:val="28"/>
        </w:rPr>
        <w:t>-</w:t>
      </w:r>
      <w:r w:rsidR="00AC17A4" w:rsidRPr="000B32BA">
        <w:rPr>
          <w:sz w:val="28"/>
          <w:szCs w:val="28"/>
        </w:rPr>
        <w:t>bundantemente r</w:t>
      </w:r>
      <w:r w:rsidR="007C27C3" w:rsidRPr="000B32BA">
        <w:rPr>
          <w:sz w:val="28"/>
          <w:szCs w:val="28"/>
        </w:rPr>
        <w:t>eferenciados na presente Disser</w:t>
      </w:r>
      <w:r w:rsidR="00AC17A4" w:rsidRPr="000B32BA">
        <w:rPr>
          <w:sz w:val="28"/>
          <w:szCs w:val="28"/>
        </w:rPr>
        <w:t xml:space="preserve">tação, </w:t>
      </w:r>
      <w:r w:rsidR="00795044" w:rsidRPr="000B32BA">
        <w:rPr>
          <w:sz w:val="28"/>
          <w:szCs w:val="28"/>
        </w:rPr>
        <w:t>fortalecendo</w:t>
      </w:r>
      <w:r w:rsidR="00AC17A4" w:rsidRPr="000B32BA">
        <w:rPr>
          <w:sz w:val="28"/>
          <w:szCs w:val="28"/>
        </w:rPr>
        <w:t xml:space="preserve"> </w:t>
      </w:r>
      <w:r w:rsidR="00795044" w:rsidRPr="000B32BA">
        <w:rPr>
          <w:sz w:val="28"/>
          <w:szCs w:val="28"/>
        </w:rPr>
        <w:t>a consciência de</w:t>
      </w:r>
      <w:r w:rsidR="00AC17A4" w:rsidRPr="000B32BA">
        <w:rPr>
          <w:sz w:val="28"/>
          <w:szCs w:val="28"/>
        </w:rPr>
        <w:t>mocrática e partici</w:t>
      </w:r>
      <w:r w:rsidR="00795044" w:rsidRPr="000B32BA">
        <w:rPr>
          <w:sz w:val="28"/>
          <w:szCs w:val="28"/>
        </w:rPr>
        <w:t>pativa dos cid</w:t>
      </w:r>
      <w:r w:rsidR="00AC17A4" w:rsidRPr="000B32BA">
        <w:rPr>
          <w:sz w:val="28"/>
          <w:szCs w:val="28"/>
        </w:rPr>
        <w:t xml:space="preserve">adãos na vida da “Res Publica”. </w:t>
      </w:r>
    </w:p>
    <w:p w:rsidR="00795044" w:rsidRPr="000B32BA" w:rsidRDefault="00AC17A4" w:rsidP="00AC17A4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É a </w:t>
      </w:r>
      <w:r w:rsidR="007C27C3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legitimidade</w:t>
      </w:r>
      <w:r w:rsidR="007C27C3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e a </w:t>
      </w:r>
      <w:r w:rsidR="007C27C3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democraticidade</w:t>
      </w:r>
      <w:r w:rsidR="007C27C3" w:rsidRPr="000B32BA">
        <w:rPr>
          <w:sz w:val="28"/>
          <w:szCs w:val="28"/>
        </w:rPr>
        <w:t>”</w:t>
      </w:r>
      <w:r w:rsidR="00C11405">
        <w:rPr>
          <w:sz w:val="28"/>
          <w:szCs w:val="28"/>
        </w:rPr>
        <w:t xml:space="preserve"> desses pro</w:t>
      </w:r>
      <w:r w:rsidRPr="000B32BA">
        <w:rPr>
          <w:sz w:val="28"/>
          <w:szCs w:val="28"/>
        </w:rPr>
        <w:t xml:space="preserve">cedimentos que criam e fortalecem </w:t>
      </w:r>
      <w:r w:rsidR="00795044" w:rsidRPr="000B32BA">
        <w:rPr>
          <w:sz w:val="28"/>
          <w:szCs w:val="28"/>
        </w:rPr>
        <w:t xml:space="preserve">as condições de </w:t>
      </w:r>
      <w:r w:rsidR="00C11405">
        <w:rPr>
          <w:sz w:val="28"/>
          <w:szCs w:val="28"/>
        </w:rPr>
        <w:t>con</w:t>
      </w:r>
      <w:r w:rsidR="00795044" w:rsidRPr="000B32BA">
        <w:rPr>
          <w:sz w:val="28"/>
          <w:szCs w:val="28"/>
        </w:rPr>
        <w:t>fiança e segurança jurídica.</w:t>
      </w:r>
      <w:r w:rsidR="00C11405">
        <w:rPr>
          <w:sz w:val="28"/>
          <w:szCs w:val="28"/>
        </w:rPr>
        <w:t xml:space="preserve"> A “cidadania”, em suma.</w:t>
      </w:r>
    </w:p>
    <w:p w:rsidR="004C054E" w:rsidRDefault="00795044" w:rsidP="00C11405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Além de que, </w:t>
      </w:r>
      <w:r w:rsidR="00AC17A4" w:rsidRPr="000B32BA">
        <w:rPr>
          <w:sz w:val="28"/>
          <w:szCs w:val="28"/>
        </w:rPr>
        <w:t xml:space="preserve">ao contrário do que refere o </w:t>
      </w:r>
      <w:r w:rsidR="00A83674" w:rsidRPr="000B32BA">
        <w:rPr>
          <w:sz w:val="28"/>
          <w:szCs w:val="28"/>
        </w:rPr>
        <w:t>ca</w:t>
      </w:r>
      <w:r w:rsidR="00AC17A4" w:rsidRPr="000B32BA">
        <w:rPr>
          <w:sz w:val="28"/>
          <w:szCs w:val="28"/>
        </w:rPr>
        <w:t>ndi</w:t>
      </w:r>
      <w:r w:rsidRPr="000B32BA">
        <w:rPr>
          <w:sz w:val="28"/>
          <w:szCs w:val="28"/>
        </w:rPr>
        <w:t xml:space="preserve">dato, os direitos fundamentais não têm por único destinatário o Estado, mas </w:t>
      </w:r>
      <w:r w:rsidR="00AC17A4" w:rsidRPr="000B32BA">
        <w:rPr>
          <w:sz w:val="28"/>
          <w:szCs w:val="28"/>
        </w:rPr>
        <w:t xml:space="preserve">ainda </w:t>
      </w:r>
      <w:r w:rsidRPr="000B32BA">
        <w:rPr>
          <w:sz w:val="28"/>
          <w:szCs w:val="28"/>
        </w:rPr>
        <w:t xml:space="preserve">a generalidade dos cidadãos. </w:t>
      </w:r>
    </w:p>
    <w:p w:rsidR="00C11405" w:rsidRPr="000B32BA" w:rsidRDefault="00C11405" w:rsidP="00C11405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</w:p>
    <w:p w:rsidR="00795044" w:rsidRPr="000B32BA" w:rsidRDefault="00795044" w:rsidP="003D7F73">
      <w:pPr>
        <w:pStyle w:val="PargrafodaLista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0B32BA">
        <w:rPr>
          <w:sz w:val="28"/>
          <w:szCs w:val="28"/>
        </w:rPr>
        <w:t xml:space="preserve">J) </w:t>
      </w:r>
      <w:r w:rsidR="00E878FF" w:rsidRPr="000B32BA">
        <w:rPr>
          <w:sz w:val="28"/>
          <w:szCs w:val="28"/>
        </w:rPr>
        <w:t>“</w:t>
      </w:r>
      <w:r w:rsidRPr="000B32BA">
        <w:rPr>
          <w:i/>
          <w:sz w:val="28"/>
          <w:szCs w:val="28"/>
        </w:rPr>
        <w:t xml:space="preserve">A necessidade de conformação do regime de acesso </w:t>
      </w:r>
      <w:r w:rsidR="00C11405">
        <w:rPr>
          <w:i/>
          <w:sz w:val="28"/>
          <w:szCs w:val="28"/>
        </w:rPr>
        <w:t>juris-</w:t>
      </w:r>
      <w:r w:rsidRPr="000B32BA">
        <w:rPr>
          <w:i/>
          <w:sz w:val="28"/>
          <w:szCs w:val="28"/>
        </w:rPr>
        <w:t>diciona</w:t>
      </w:r>
      <w:r w:rsidR="00C11405">
        <w:rPr>
          <w:i/>
          <w:sz w:val="28"/>
          <w:szCs w:val="28"/>
        </w:rPr>
        <w:t>l aos princípios da constitucio</w:t>
      </w:r>
      <w:r w:rsidRPr="000B32BA">
        <w:rPr>
          <w:i/>
          <w:sz w:val="28"/>
          <w:szCs w:val="28"/>
        </w:rPr>
        <w:t>nalidade e da aplicabilidade di</w:t>
      </w:r>
      <w:r w:rsidR="00C11405">
        <w:rPr>
          <w:i/>
          <w:sz w:val="28"/>
          <w:szCs w:val="28"/>
        </w:rPr>
        <w:t>-recta dos direitos funda</w:t>
      </w:r>
      <w:r w:rsidRPr="000B32BA">
        <w:rPr>
          <w:i/>
          <w:sz w:val="28"/>
          <w:szCs w:val="28"/>
        </w:rPr>
        <w:t>mentais</w:t>
      </w:r>
      <w:r w:rsidR="00E878FF" w:rsidRPr="000B32BA">
        <w:rPr>
          <w:i/>
          <w:sz w:val="28"/>
          <w:szCs w:val="28"/>
        </w:rPr>
        <w:t>”</w:t>
      </w:r>
    </w:p>
    <w:p w:rsidR="00795044" w:rsidRPr="000B32BA" w:rsidRDefault="00795044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</w:p>
    <w:p w:rsidR="000946B2" w:rsidRPr="000B32BA" w:rsidRDefault="007C27C3" w:rsidP="003D7F73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Na </w:t>
      </w:r>
      <w:r w:rsidR="00795044" w:rsidRPr="000B32BA">
        <w:rPr>
          <w:sz w:val="28"/>
          <w:szCs w:val="28"/>
        </w:rPr>
        <w:t>sua Dissertação</w:t>
      </w:r>
      <w:r w:rsidRPr="00C11405">
        <w:rPr>
          <w:rStyle w:val="ncoradanotaderodap"/>
        </w:rPr>
        <w:footnoteReference w:id="22"/>
      </w:r>
      <w:r w:rsidR="00795044" w:rsidRPr="000B32BA">
        <w:rPr>
          <w:sz w:val="28"/>
          <w:szCs w:val="28"/>
        </w:rPr>
        <w:t xml:space="preserve"> o candidato refere, e bem, a “necessidade de conformação do regime de acesso </w:t>
      </w:r>
      <w:r w:rsidR="003F68AF" w:rsidRPr="000B32BA">
        <w:rPr>
          <w:sz w:val="28"/>
          <w:szCs w:val="28"/>
        </w:rPr>
        <w:t>ju</w:t>
      </w:r>
      <w:r w:rsidR="00C11405">
        <w:rPr>
          <w:sz w:val="28"/>
          <w:szCs w:val="28"/>
        </w:rPr>
        <w:t>ris</w:t>
      </w:r>
      <w:r w:rsidRPr="000B32BA">
        <w:rPr>
          <w:sz w:val="28"/>
          <w:szCs w:val="28"/>
        </w:rPr>
        <w:t>dicional aos princípios da cons</w:t>
      </w:r>
      <w:r w:rsidR="00795044" w:rsidRPr="000B32BA">
        <w:rPr>
          <w:sz w:val="28"/>
          <w:szCs w:val="28"/>
        </w:rPr>
        <w:t>titucionalidade e da aplicabilidade directa dos direitos fundamen</w:t>
      </w:r>
      <w:r w:rsidR="00C11405">
        <w:rPr>
          <w:sz w:val="28"/>
          <w:szCs w:val="28"/>
        </w:rPr>
        <w:t>-</w:t>
      </w:r>
      <w:r w:rsidR="00795044" w:rsidRPr="000B32BA">
        <w:rPr>
          <w:sz w:val="28"/>
          <w:szCs w:val="28"/>
        </w:rPr>
        <w:t>tais”</w:t>
      </w:r>
      <w:r w:rsidR="00AC17A4" w:rsidRPr="000B32BA">
        <w:rPr>
          <w:sz w:val="28"/>
          <w:szCs w:val="28"/>
        </w:rPr>
        <w:t>.</w:t>
      </w:r>
      <w:r w:rsidR="003F68AF" w:rsidRPr="000B32BA">
        <w:rPr>
          <w:sz w:val="28"/>
          <w:szCs w:val="28"/>
        </w:rPr>
        <w:t xml:space="preserve"> </w:t>
      </w:r>
      <w:r w:rsidR="000946B2" w:rsidRPr="000B32BA">
        <w:rPr>
          <w:sz w:val="28"/>
          <w:szCs w:val="28"/>
        </w:rPr>
        <w:t>E, ainda, a “necessidade de democratização do acesso jurisdi</w:t>
      </w:r>
      <w:r w:rsidR="003F68AF" w:rsidRPr="000B32BA">
        <w:rPr>
          <w:sz w:val="28"/>
          <w:szCs w:val="28"/>
        </w:rPr>
        <w:t>-cional”</w:t>
      </w:r>
      <w:r w:rsidR="000946B2" w:rsidRPr="000B32BA">
        <w:rPr>
          <w:sz w:val="28"/>
          <w:szCs w:val="28"/>
        </w:rPr>
        <w:t xml:space="preserve"> </w:t>
      </w:r>
      <w:r w:rsidR="003F68AF" w:rsidRPr="000B32BA">
        <w:rPr>
          <w:sz w:val="28"/>
          <w:szCs w:val="28"/>
        </w:rPr>
        <w:t xml:space="preserve">e </w:t>
      </w:r>
      <w:r w:rsidR="000946B2" w:rsidRPr="000B32BA">
        <w:rPr>
          <w:sz w:val="28"/>
          <w:szCs w:val="28"/>
        </w:rPr>
        <w:t>a “exigência” de conformar o Conselho Constitucional como o “guardião e o último intérprete dos direitos fundamentais”.</w:t>
      </w:r>
    </w:p>
    <w:p w:rsidR="000946B2" w:rsidRPr="000B32BA" w:rsidRDefault="000946B2" w:rsidP="000946B2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lastRenderedPageBreak/>
        <w:t xml:space="preserve">É, neste contexto, que deverá ser interpretado o </w:t>
      </w:r>
      <w:r w:rsidR="005D0E89" w:rsidRPr="000B32BA">
        <w:rPr>
          <w:sz w:val="28"/>
          <w:szCs w:val="28"/>
        </w:rPr>
        <w:t xml:space="preserve">seu </w:t>
      </w:r>
      <w:r w:rsidRPr="000B32BA">
        <w:rPr>
          <w:sz w:val="28"/>
          <w:szCs w:val="28"/>
        </w:rPr>
        <w:t>“plaidoyer” em favor da introdução na ordem jurídica moçambicana do “recurso de in</w:t>
      </w:r>
      <w:r w:rsidR="00C11405">
        <w:rPr>
          <w:sz w:val="28"/>
          <w:szCs w:val="28"/>
        </w:rPr>
        <w:t>-</w:t>
      </w:r>
      <w:r w:rsidRPr="000B32BA">
        <w:rPr>
          <w:sz w:val="28"/>
          <w:szCs w:val="28"/>
        </w:rPr>
        <w:t xml:space="preserve">constitucionalidade”, </w:t>
      </w:r>
      <w:r w:rsidR="008A6147" w:rsidRPr="000B32BA">
        <w:rPr>
          <w:sz w:val="28"/>
          <w:szCs w:val="28"/>
        </w:rPr>
        <w:t>con</w:t>
      </w:r>
      <w:r w:rsidRPr="000B32BA">
        <w:rPr>
          <w:sz w:val="28"/>
          <w:szCs w:val="28"/>
        </w:rPr>
        <w:t xml:space="preserve">jugado, </w:t>
      </w:r>
      <w:r w:rsidR="003F68AF" w:rsidRPr="000B32BA">
        <w:rPr>
          <w:sz w:val="28"/>
          <w:szCs w:val="28"/>
        </w:rPr>
        <w:t xml:space="preserve">de forma </w:t>
      </w:r>
      <w:r w:rsidRPr="000B32BA">
        <w:rPr>
          <w:sz w:val="28"/>
          <w:szCs w:val="28"/>
        </w:rPr>
        <w:t>subsidi</w:t>
      </w:r>
      <w:r w:rsidR="003F68AF" w:rsidRPr="000B32BA">
        <w:rPr>
          <w:sz w:val="28"/>
          <w:szCs w:val="28"/>
        </w:rPr>
        <w:t>ária e complementar</w:t>
      </w:r>
      <w:r w:rsidRPr="000B32BA">
        <w:rPr>
          <w:sz w:val="28"/>
          <w:szCs w:val="28"/>
        </w:rPr>
        <w:t xml:space="preserve">, </w:t>
      </w:r>
      <w:r w:rsidR="005D0E89" w:rsidRPr="000B32BA">
        <w:rPr>
          <w:sz w:val="28"/>
          <w:szCs w:val="28"/>
        </w:rPr>
        <w:t xml:space="preserve">pelo </w:t>
      </w:r>
      <w:r w:rsidRPr="000B32BA">
        <w:rPr>
          <w:sz w:val="28"/>
          <w:szCs w:val="28"/>
        </w:rPr>
        <w:t>“recurso de amparo</w:t>
      </w:r>
      <w:r w:rsidR="003F68AF" w:rsidRPr="000B32BA">
        <w:rPr>
          <w:sz w:val="28"/>
          <w:szCs w:val="28"/>
        </w:rPr>
        <w:t xml:space="preserve"> constit</w:t>
      </w:r>
      <w:r w:rsidRPr="000B32BA">
        <w:rPr>
          <w:sz w:val="28"/>
          <w:szCs w:val="28"/>
        </w:rPr>
        <w:t>ucional”</w:t>
      </w:r>
      <w:r w:rsidR="003F68AF" w:rsidRPr="00C11405">
        <w:rPr>
          <w:rStyle w:val="ncoradanotaderodap"/>
        </w:rPr>
        <w:footnoteReference w:id="23"/>
      </w:r>
      <w:r w:rsidRPr="000B32BA">
        <w:rPr>
          <w:sz w:val="28"/>
          <w:szCs w:val="28"/>
        </w:rPr>
        <w:t>.</w:t>
      </w:r>
    </w:p>
    <w:p w:rsidR="00BE35D6" w:rsidRPr="000B32BA" w:rsidRDefault="006400D7" w:rsidP="00D365D1">
      <w:pPr>
        <w:pStyle w:val="PargrafodaLista"/>
        <w:spacing w:line="360" w:lineRule="auto"/>
        <w:ind w:left="0"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Os tribunais a</w:t>
      </w:r>
      <w:r w:rsidR="00440BE8" w:rsidRPr="000B32BA">
        <w:rPr>
          <w:sz w:val="28"/>
          <w:szCs w:val="28"/>
        </w:rPr>
        <w:t>dministram a Justiça “em representação” do Povo, mas não são os seus representantes eleitos</w:t>
      </w:r>
      <w:r w:rsidRPr="00C11405">
        <w:rPr>
          <w:rStyle w:val="ncoradanotaderodap"/>
        </w:rPr>
        <w:footnoteReference w:id="24"/>
      </w:r>
      <w:r w:rsidR="00440BE8" w:rsidRPr="000B32BA">
        <w:rPr>
          <w:sz w:val="28"/>
          <w:szCs w:val="28"/>
        </w:rPr>
        <w:t xml:space="preserve">. Não intercede aqui </w:t>
      </w:r>
      <w:r w:rsidR="005F2A19" w:rsidRPr="000B32BA">
        <w:rPr>
          <w:sz w:val="28"/>
          <w:szCs w:val="28"/>
        </w:rPr>
        <w:t>nenhum vínculo ou</w:t>
      </w:r>
      <w:r w:rsidR="00DB6F63" w:rsidRPr="000B32BA">
        <w:rPr>
          <w:sz w:val="28"/>
          <w:szCs w:val="28"/>
        </w:rPr>
        <w:t xml:space="preserve"> </w:t>
      </w:r>
      <w:r w:rsidR="00440BE8" w:rsidRPr="000B32BA">
        <w:rPr>
          <w:sz w:val="28"/>
          <w:szCs w:val="28"/>
        </w:rPr>
        <w:t>forma de delegação ou</w:t>
      </w:r>
      <w:r w:rsidR="00DB6F63" w:rsidRPr="000B32BA">
        <w:rPr>
          <w:sz w:val="28"/>
          <w:szCs w:val="28"/>
        </w:rPr>
        <w:t xml:space="preserve"> </w:t>
      </w:r>
      <w:r w:rsidR="00440BE8" w:rsidRPr="000B32BA">
        <w:rPr>
          <w:sz w:val="28"/>
          <w:szCs w:val="28"/>
        </w:rPr>
        <w:t>mandato representativo</w:t>
      </w:r>
      <w:r w:rsidR="00DB6F63" w:rsidRPr="00C11405">
        <w:rPr>
          <w:rStyle w:val="ncoradanotaderodap"/>
        </w:rPr>
        <w:footnoteReference w:id="25"/>
      </w:r>
      <w:r w:rsidR="00440BE8" w:rsidRPr="000B32BA">
        <w:rPr>
          <w:sz w:val="28"/>
          <w:szCs w:val="28"/>
        </w:rPr>
        <w:t>.</w:t>
      </w:r>
      <w:r w:rsidR="00D365D1" w:rsidRPr="000B32BA">
        <w:rPr>
          <w:sz w:val="28"/>
          <w:szCs w:val="28"/>
        </w:rPr>
        <w:t xml:space="preserve"> </w:t>
      </w:r>
      <w:r w:rsidR="00440BE8" w:rsidRPr="000B32BA">
        <w:rPr>
          <w:sz w:val="28"/>
          <w:szCs w:val="28"/>
        </w:rPr>
        <w:t>Se os tribu</w:t>
      </w:r>
      <w:r w:rsidR="00C11405">
        <w:rPr>
          <w:sz w:val="28"/>
          <w:szCs w:val="28"/>
        </w:rPr>
        <w:t>-</w:t>
      </w:r>
      <w:r w:rsidR="00440BE8" w:rsidRPr="000B32BA">
        <w:rPr>
          <w:sz w:val="28"/>
          <w:szCs w:val="28"/>
        </w:rPr>
        <w:t>nais “administram a Justiça em nome do Povo” é porque a Constituição assim o determina</w:t>
      </w:r>
      <w:r w:rsidR="00D365D1" w:rsidRPr="000B32BA">
        <w:rPr>
          <w:sz w:val="28"/>
          <w:szCs w:val="28"/>
        </w:rPr>
        <w:t xml:space="preserve"> e au</w:t>
      </w:r>
      <w:r w:rsidR="00587C56" w:rsidRPr="000B32BA">
        <w:rPr>
          <w:sz w:val="28"/>
          <w:szCs w:val="28"/>
        </w:rPr>
        <w:t>toriza</w:t>
      </w:r>
      <w:r w:rsidR="00440BE8" w:rsidRPr="000B32BA">
        <w:rPr>
          <w:sz w:val="28"/>
          <w:szCs w:val="28"/>
        </w:rPr>
        <w:t xml:space="preserve">. </w:t>
      </w:r>
      <w:r w:rsidR="005A5D5C" w:rsidRPr="000B32BA">
        <w:rPr>
          <w:sz w:val="28"/>
          <w:szCs w:val="28"/>
        </w:rPr>
        <w:t>E n</w:t>
      </w:r>
      <w:r w:rsidR="00440BE8" w:rsidRPr="000B32BA">
        <w:rPr>
          <w:sz w:val="28"/>
          <w:szCs w:val="28"/>
        </w:rPr>
        <w:t>ão se trata</w:t>
      </w:r>
      <w:r w:rsidR="005A5D5C" w:rsidRPr="000B32BA">
        <w:rPr>
          <w:sz w:val="28"/>
          <w:szCs w:val="28"/>
        </w:rPr>
        <w:t xml:space="preserve"> </w:t>
      </w:r>
      <w:r w:rsidR="00440BE8" w:rsidRPr="000B32BA">
        <w:rPr>
          <w:sz w:val="28"/>
          <w:szCs w:val="28"/>
        </w:rPr>
        <w:t>do exercício de um “manda</w:t>
      </w:r>
      <w:r w:rsidR="00C11405">
        <w:rPr>
          <w:sz w:val="28"/>
          <w:szCs w:val="28"/>
        </w:rPr>
        <w:t>-</w:t>
      </w:r>
      <w:r w:rsidR="00440BE8" w:rsidRPr="000B32BA">
        <w:rPr>
          <w:sz w:val="28"/>
          <w:szCs w:val="28"/>
        </w:rPr>
        <w:t>to”</w:t>
      </w:r>
      <w:r w:rsidR="00D85172" w:rsidRPr="000B32BA">
        <w:rPr>
          <w:sz w:val="28"/>
          <w:szCs w:val="28"/>
        </w:rPr>
        <w:t>, antes de uma “autorização</w:t>
      </w:r>
      <w:r w:rsidR="00440BE8" w:rsidRPr="000B32BA">
        <w:rPr>
          <w:sz w:val="28"/>
          <w:szCs w:val="28"/>
        </w:rPr>
        <w:t xml:space="preserve"> constitucional</w:t>
      </w:r>
      <w:r w:rsidR="00D85172" w:rsidRPr="000B32BA">
        <w:rPr>
          <w:sz w:val="28"/>
          <w:szCs w:val="28"/>
        </w:rPr>
        <w:t>”</w:t>
      </w:r>
      <w:r w:rsidR="00587C56" w:rsidRPr="00C11405">
        <w:rPr>
          <w:rStyle w:val="ncoradanotaderodap"/>
        </w:rPr>
        <w:footnoteReference w:id="26"/>
      </w:r>
      <w:r w:rsidR="008F4F8F" w:rsidRPr="000B32BA">
        <w:rPr>
          <w:sz w:val="28"/>
          <w:szCs w:val="28"/>
        </w:rPr>
        <w:t>.</w:t>
      </w:r>
    </w:p>
    <w:p w:rsidR="0062335A" w:rsidRPr="000B32BA" w:rsidRDefault="00440BE8" w:rsidP="00E37F87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Não apenas a</w:t>
      </w:r>
      <w:r w:rsidR="00D365D1" w:rsidRPr="000B32BA">
        <w:rPr>
          <w:sz w:val="28"/>
          <w:szCs w:val="28"/>
        </w:rPr>
        <w:t>s</w:t>
      </w:r>
      <w:r w:rsidR="00C11405">
        <w:rPr>
          <w:sz w:val="28"/>
          <w:szCs w:val="28"/>
        </w:rPr>
        <w:t xml:space="preserve"> normas de “organização” e “pro</w:t>
      </w:r>
      <w:r w:rsidR="00D365D1" w:rsidRPr="000B32BA">
        <w:rPr>
          <w:sz w:val="28"/>
          <w:szCs w:val="28"/>
        </w:rPr>
        <w:t>cedimento” se mos</w:t>
      </w:r>
      <w:r w:rsidR="00C11405">
        <w:rPr>
          <w:sz w:val="28"/>
          <w:szCs w:val="28"/>
        </w:rPr>
        <w:t>-</w:t>
      </w:r>
      <w:r w:rsidR="00D365D1" w:rsidRPr="000B32BA">
        <w:rPr>
          <w:sz w:val="28"/>
          <w:szCs w:val="28"/>
        </w:rPr>
        <w:t xml:space="preserve">tram nucleares </w:t>
      </w:r>
      <w:r w:rsidRPr="000B32BA">
        <w:rPr>
          <w:sz w:val="28"/>
          <w:szCs w:val="28"/>
        </w:rPr>
        <w:t xml:space="preserve">na defesa e garantia da Constituição como </w:t>
      </w:r>
      <w:r w:rsidR="00D365D1" w:rsidRPr="000B32BA">
        <w:rPr>
          <w:sz w:val="28"/>
          <w:szCs w:val="28"/>
        </w:rPr>
        <w:t>se mostra necessário apostar</w:t>
      </w:r>
      <w:r w:rsidR="008A6147" w:rsidRPr="000B32BA">
        <w:rPr>
          <w:sz w:val="28"/>
          <w:szCs w:val="28"/>
        </w:rPr>
        <w:t xml:space="preserve"> ainda na de</w:t>
      </w:r>
      <w:r w:rsidR="00D365D1" w:rsidRPr="000B32BA">
        <w:rPr>
          <w:sz w:val="28"/>
          <w:szCs w:val="28"/>
        </w:rPr>
        <w:t>mocraticidade e participação constitu</w:t>
      </w:r>
      <w:r w:rsidR="00C11405">
        <w:rPr>
          <w:sz w:val="28"/>
          <w:szCs w:val="28"/>
        </w:rPr>
        <w:t>-</w:t>
      </w:r>
      <w:r w:rsidR="00D365D1" w:rsidRPr="000B32BA">
        <w:rPr>
          <w:sz w:val="28"/>
          <w:szCs w:val="28"/>
        </w:rPr>
        <w:t xml:space="preserve">cional dos cidadãos no acesso </w:t>
      </w:r>
      <w:r w:rsidR="003F68AF" w:rsidRPr="000B32BA">
        <w:rPr>
          <w:sz w:val="28"/>
          <w:szCs w:val="28"/>
        </w:rPr>
        <w:t xml:space="preserve">à Justiça e aos Tribunais </w:t>
      </w:r>
      <w:r w:rsidR="00D365D1" w:rsidRPr="000B32BA">
        <w:rPr>
          <w:sz w:val="28"/>
          <w:szCs w:val="28"/>
        </w:rPr>
        <w:t xml:space="preserve">no quadro de um Estado de Direito democrático e social. Uma tarefa </w:t>
      </w:r>
      <w:r w:rsidRPr="000B32BA">
        <w:rPr>
          <w:sz w:val="28"/>
          <w:szCs w:val="28"/>
        </w:rPr>
        <w:t xml:space="preserve">fundamental da </w:t>
      </w:r>
      <w:r w:rsidRPr="000B32BA">
        <w:rPr>
          <w:i/>
          <w:iCs/>
          <w:sz w:val="28"/>
          <w:szCs w:val="28"/>
        </w:rPr>
        <w:t>Res Publica</w:t>
      </w:r>
      <w:r w:rsidRPr="000B32BA">
        <w:rPr>
          <w:sz w:val="28"/>
          <w:szCs w:val="28"/>
        </w:rPr>
        <w:t>.</w:t>
      </w:r>
    </w:p>
    <w:p w:rsidR="003F68AF" w:rsidRPr="000B32BA" w:rsidRDefault="00D448F3" w:rsidP="003F68AF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A questão é</w:t>
      </w:r>
      <w:r w:rsidR="003F68AF" w:rsidRPr="000B32BA">
        <w:rPr>
          <w:sz w:val="28"/>
          <w:szCs w:val="28"/>
        </w:rPr>
        <w:t xml:space="preserve">, </w:t>
      </w:r>
      <w:r w:rsidR="005D0E89" w:rsidRPr="000B32BA">
        <w:rPr>
          <w:sz w:val="28"/>
          <w:szCs w:val="28"/>
        </w:rPr>
        <w:t>pois</w:t>
      </w:r>
      <w:r w:rsidR="003F68AF" w:rsidRPr="000B32BA">
        <w:rPr>
          <w:sz w:val="28"/>
          <w:szCs w:val="28"/>
        </w:rPr>
        <w:t xml:space="preserve">, </w:t>
      </w:r>
      <w:r w:rsidRPr="000B32BA">
        <w:rPr>
          <w:i/>
          <w:sz w:val="28"/>
          <w:szCs w:val="28"/>
        </w:rPr>
        <w:t>política</w:t>
      </w:r>
      <w:r w:rsidRPr="000B32BA">
        <w:rPr>
          <w:sz w:val="28"/>
          <w:szCs w:val="28"/>
        </w:rPr>
        <w:t xml:space="preserve">. E implica o desenvolvimento e </w:t>
      </w:r>
      <w:r w:rsidR="00A83674" w:rsidRPr="000B32BA">
        <w:rPr>
          <w:sz w:val="28"/>
          <w:szCs w:val="28"/>
        </w:rPr>
        <w:t>a</w:t>
      </w:r>
      <w:r w:rsidR="00C11405">
        <w:rPr>
          <w:sz w:val="28"/>
          <w:szCs w:val="28"/>
        </w:rPr>
        <w:t>-</w:t>
      </w:r>
      <w:r w:rsidR="00A83674" w:rsidRPr="000B32BA">
        <w:rPr>
          <w:sz w:val="28"/>
          <w:szCs w:val="28"/>
        </w:rPr>
        <w:t xml:space="preserve">perfeiçoamento </w:t>
      </w:r>
      <w:r w:rsidR="003F68AF" w:rsidRPr="000B32BA">
        <w:rPr>
          <w:sz w:val="28"/>
          <w:szCs w:val="28"/>
        </w:rPr>
        <w:t>de uma teoria normativa da interpretação</w:t>
      </w:r>
      <w:r w:rsidR="005D0E89" w:rsidRPr="000B32BA">
        <w:rPr>
          <w:sz w:val="28"/>
          <w:szCs w:val="28"/>
        </w:rPr>
        <w:t xml:space="preserve"> constitucional</w:t>
      </w:r>
      <w:r w:rsidR="003F68AF" w:rsidRPr="000B32BA">
        <w:rPr>
          <w:sz w:val="28"/>
          <w:szCs w:val="28"/>
        </w:rPr>
        <w:t xml:space="preserve"> e do controle jurisdicional.</w:t>
      </w:r>
    </w:p>
    <w:p w:rsidR="0062335A" w:rsidRPr="000B32BA" w:rsidRDefault="00D448F3" w:rsidP="003F68AF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Por isso </w:t>
      </w:r>
      <w:r w:rsidR="00440BE8" w:rsidRPr="000B32BA">
        <w:rPr>
          <w:sz w:val="28"/>
          <w:szCs w:val="28"/>
        </w:rPr>
        <w:t xml:space="preserve">faz </w:t>
      </w:r>
      <w:r w:rsidR="0003582D" w:rsidRPr="000B32BA">
        <w:rPr>
          <w:sz w:val="28"/>
          <w:szCs w:val="28"/>
        </w:rPr>
        <w:t xml:space="preserve">todo o </w:t>
      </w:r>
      <w:r w:rsidR="00440BE8" w:rsidRPr="000B32BA">
        <w:rPr>
          <w:sz w:val="28"/>
          <w:szCs w:val="28"/>
        </w:rPr>
        <w:t xml:space="preserve">sentido colocar a questão da </w:t>
      </w:r>
      <w:r w:rsidR="00527907" w:rsidRPr="000B32BA">
        <w:rPr>
          <w:sz w:val="28"/>
          <w:szCs w:val="28"/>
        </w:rPr>
        <w:t>“</w:t>
      </w:r>
      <w:r w:rsidR="00440BE8" w:rsidRPr="000B32BA">
        <w:rPr>
          <w:sz w:val="28"/>
          <w:szCs w:val="28"/>
        </w:rPr>
        <w:t>confiança pú</w:t>
      </w:r>
      <w:r w:rsidR="00C11405">
        <w:rPr>
          <w:sz w:val="28"/>
          <w:szCs w:val="28"/>
        </w:rPr>
        <w:t>-</w:t>
      </w:r>
      <w:r w:rsidR="00440BE8" w:rsidRPr="000B32BA">
        <w:rPr>
          <w:sz w:val="28"/>
          <w:szCs w:val="28"/>
        </w:rPr>
        <w:t>blica</w:t>
      </w:r>
      <w:r w:rsidR="00527907" w:rsidRPr="000B32BA">
        <w:rPr>
          <w:sz w:val="28"/>
          <w:szCs w:val="28"/>
        </w:rPr>
        <w:t>”</w:t>
      </w:r>
      <w:r w:rsidR="00440BE8" w:rsidRPr="000B32BA">
        <w:rPr>
          <w:sz w:val="28"/>
          <w:szCs w:val="28"/>
        </w:rPr>
        <w:t xml:space="preserve">, da </w:t>
      </w:r>
      <w:r w:rsidR="00527907" w:rsidRPr="000B32BA">
        <w:rPr>
          <w:sz w:val="28"/>
          <w:szCs w:val="28"/>
        </w:rPr>
        <w:t>“credibili</w:t>
      </w:r>
      <w:r w:rsidR="00440BE8" w:rsidRPr="000B32BA">
        <w:rPr>
          <w:sz w:val="28"/>
          <w:szCs w:val="28"/>
        </w:rPr>
        <w:t>dade</w:t>
      </w:r>
      <w:r w:rsidR="00527907" w:rsidRPr="000B32BA">
        <w:rPr>
          <w:sz w:val="28"/>
          <w:szCs w:val="28"/>
        </w:rPr>
        <w:t>”</w:t>
      </w:r>
      <w:r w:rsidR="00440BE8" w:rsidRPr="000B32BA">
        <w:rPr>
          <w:sz w:val="28"/>
          <w:szCs w:val="28"/>
        </w:rPr>
        <w:t xml:space="preserve"> das instituições, da </w:t>
      </w:r>
      <w:r w:rsidR="00527907" w:rsidRPr="000B32BA">
        <w:rPr>
          <w:sz w:val="28"/>
          <w:szCs w:val="28"/>
        </w:rPr>
        <w:t>“</w:t>
      </w:r>
      <w:r w:rsidR="00440BE8" w:rsidRPr="000B32BA">
        <w:rPr>
          <w:sz w:val="28"/>
          <w:szCs w:val="28"/>
        </w:rPr>
        <w:t>transparência</w:t>
      </w:r>
      <w:r w:rsidR="00527907" w:rsidRPr="000B32BA">
        <w:rPr>
          <w:sz w:val="28"/>
          <w:szCs w:val="28"/>
        </w:rPr>
        <w:t>”</w:t>
      </w:r>
      <w:r w:rsidR="00440BE8" w:rsidRPr="000B32BA">
        <w:rPr>
          <w:sz w:val="28"/>
          <w:szCs w:val="28"/>
        </w:rPr>
        <w:t xml:space="preserve">, da </w:t>
      </w:r>
      <w:r w:rsidR="00527907" w:rsidRPr="000B32BA">
        <w:rPr>
          <w:sz w:val="28"/>
          <w:szCs w:val="28"/>
        </w:rPr>
        <w:t>“</w:t>
      </w:r>
      <w:r w:rsidR="00440BE8" w:rsidRPr="000B32BA">
        <w:rPr>
          <w:sz w:val="28"/>
          <w:szCs w:val="28"/>
        </w:rPr>
        <w:t>im</w:t>
      </w:r>
      <w:r w:rsidR="00C11405">
        <w:rPr>
          <w:sz w:val="28"/>
          <w:szCs w:val="28"/>
        </w:rPr>
        <w:t>-</w:t>
      </w:r>
      <w:r w:rsidR="00440BE8" w:rsidRPr="000B32BA">
        <w:rPr>
          <w:sz w:val="28"/>
          <w:szCs w:val="28"/>
        </w:rPr>
        <w:lastRenderedPageBreak/>
        <w:t>parcialidade</w:t>
      </w:r>
      <w:r w:rsidR="00527907" w:rsidRPr="000B32BA">
        <w:rPr>
          <w:sz w:val="28"/>
          <w:szCs w:val="28"/>
        </w:rPr>
        <w:t xml:space="preserve">” (: </w:t>
      </w:r>
      <w:r w:rsidR="00527907" w:rsidRPr="000B32BA">
        <w:rPr>
          <w:i/>
          <w:sz w:val="28"/>
          <w:szCs w:val="28"/>
        </w:rPr>
        <w:t>fairness</w:t>
      </w:r>
      <w:r w:rsidR="00527907" w:rsidRPr="000B32BA">
        <w:rPr>
          <w:sz w:val="28"/>
          <w:szCs w:val="28"/>
        </w:rPr>
        <w:t>)</w:t>
      </w:r>
      <w:r w:rsidR="00440BE8" w:rsidRPr="000B32BA">
        <w:rPr>
          <w:sz w:val="28"/>
          <w:szCs w:val="28"/>
        </w:rPr>
        <w:t xml:space="preserve">, do </w:t>
      </w:r>
      <w:r w:rsidR="00527907" w:rsidRPr="000B32BA">
        <w:rPr>
          <w:sz w:val="28"/>
          <w:szCs w:val="28"/>
        </w:rPr>
        <w:t>“abuso da au</w:t>
      </w:r>
      <w:r w:rsidR="00440BE8" w:rsidRPr="000B32BA">
        <w:rPr>
          <w:sz w:val="28"/>
          <w:szCs w:val="28"/>
        </w:rPr>
        <w:t>toridade</w:t>
      </w:r>
      <w:r w:rsidR="00527907" w:rsidRPr="000B32BA">
        <w:rPr>
          <w:sz w:val="28"/>
          <w:szCs w:val="28"/>
        </w:rPr>
        <w:t>”</w:t>
      </w:r>
      <w:r w:rsidR="00440BE8" w:rsidRPr="000B32BA">
        <w:rPr>
          <w:sz w:val="28"/>
          <w:szCs w:val="28"/>
        </w:rPr>
        <w:t xml:space="preserve"> e da </w:t>
      </w:r>
      <w:r w:rsidR="00965974" w:rsidRPr="000B32BA">
        <w:rPr>
          <w:sz w:val="28"/>
          <w:szCs w:val="28"/>
        </w:rPr>
        <w:t>“</w:t>
      </w:r>
      <w:r w:rsidR="00440BE8" w:rsidRPr="000B32BA">
        <w:rPr>
          <w:sz w:val="28"/>
          <w:szCs w:val="28"/>
        </w:rPr>
        <w:t>corrupção</w:t>
      </w:r>
      <w:r w:rsidR="00965974" w:rsidRPr="000B32BA">
        <w:rPr>
          <w:sz w:val="28"/>
          <w:szCs w:val="28"/>
        </w:rPr>
        <w:t>”,</w:t>
      </w:r>
      <w:r w:rsidR="00440BE8" w:rsidRPr="000B32BA">
        <w:rPr>
          <w:sz w:val="28"/>
          <w:szCs w:val="28"/>
        </w:rPr>
        <w:t xml:space="preserve"> e de outras </w:t>
      </w:r>
      <w:r w:rsidR="00C11405">
        <w:rPr>
          <w:sz w:val="28"/>
          <w:szCs w:val="28"/>
        </w:rPr>
        <w:t>tan</w:t>
      </w:r>
      <w:r w:rsidR="003F68AF" w:rsidRPr="000B32BA">
        <w:rPr>
          <w:sz w:val="28"/>
          <w:szCs w:val="28"/>
        </w:rPr>
        <w:t xml:space="preserve">tas </w:t>
      </w:r>
      <w:r w:rsidR="00440BE8" w:rsidRPr="000B32BA">
        <w:rPr>
          <w:sz w:val="28"/>
          <w:szCs w:val="28"/>
        </w:rPr>
        <w:t>práticas opacas e obscuras</w:t>
      </w:r>
      <w:r w:rsidR="003F68AF" w:rsidRPr="000B32BA">
        <w:rPr>
          <w:sz w:val="28"/>
          <w:szCs w:val="28"/>
        </w:rPr>
        <w:t>,</w:t>
      </w:r>
      <w:r w:rsidR="00440BE8" w:rsidRPr="000B32BA">
        <w:rPr>
          <w:sz w:val="28"/>
          <w:szCs w:val="28"/>
        </w:rPr>
        <w:t xml:space="preserve"> violadoras do contrato so</w:t>
      </w:r>
      <w:r w:rsidR="003F68AF" w:rsidRPr="000B32BA">
        <w:rPr>
          <w:sz w:val="28"/>
          <w:szCs w:val="28"/>
        </w:rPr>
        <w:t>-</w:t>
      </w:r>
      <w:r w:rsidR="00440BE8" w:rsidRPr="000B32BA">
        <w:rPr>
          <w:sz w:val="28"/>
          <w:szCs w:val="28"/>
        </w:rPr>
        <w:t>cial</w:t>
      </w:r>
      <w:r w:rsidR="00965974" w:rsidRPr="000B32BA">
        <w:rPr>
          <w:sz w:val="28"/>
          <w:szCs w:val="28"/>
        </w:rPr>
        <w:t xml:space="preserve"> fundacional</w:t>
      </w:r>
      <w:r w:rsidR="00440BE8" w:rsidRPr="000B32BA">
        <w:rPr>
          <w:sz w:val="28"/>
          <w:szCs w:val="28"/>
        </w:rPr>
        <w:t xml:space="preserve">. </w:t>
      </w:r>
    </w:p>
    <w:p w:rsidR="00D448F3" w:rsidRPr="000B32BA" w:rsidRDefault="00440BE8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Nesse aspecto, a conclusão a que</w:t>
      </w:r>
      <w:r w:rsidR="00C50E16" w:rsidRPr="000B32BA">
        <w:rPr>
          <w:sz w:val="28"/>
          <w:szCs w:val="28"/>
        </w:rPr>
        <w:t xml:space="preserve"> o candidato</w:t>
      </w:r>
      <w:r w:rsidRPr="000B32BA">
        <w:rPr>
          <w:sz w:val="28"/>
          <w:szCs w:val="28"/>
        </w:rPr>
        <w:t xml:space="preserve"> pretende chegar, a necess</w:t>
      </w:r>
      <w:r w:rsidR="00D448F3" w:rsidRPr="000B32BA">
        <w:rPr>
          <w:sz w:val="28"/>
          <w:szCs w:val="28"/>
        </w:rPr>
        <w:t>idade de uma “nova” definição do direito fundamental de acesso dos cidadãos à Justiça e aos Tribunais</w:t>
      </w:r>
      <w:r w:rsidR="005D0E89" w:rsidRPr="000B32BA">
        <w:rPr>
          <w:sz w:val="28"/>
          <w:szCs w:val="28"/>
        </w:rPr>
        <w:t>,</w:t>
      </w:r>
      <w:r w:rsidR="00D448F3" w:rsidRPr="000B32BA">
        <w:rPr>
          <w:sz w:val="28"/>
          <w:szCs w:val="28"/>
        </w:rPr>
        <w:t xml:space="preserve"> </w:t>
      </w:r>
      <w:r w:rsidR="00965974" w:rsidRPr="000B32BA">
        <w:rPr>
          <w:sz w:val="28"/>
          <w:szCs w:val="28"/>
          <w:lang w:val="it-IT"/>
        </w:rPr>
        <w:t xml:space="preserve">pode </w:t>
      </w:r>
      <w:r w:rsidR="00965974" w:rsidRPr="000B32BA">
        <w:rPr>
          <w:sz w:val="28"/>
          <w:szCs w:val="28"/>
        </w:rPr>
        <w:t>mostra-se certeira e ade</w:t>
      </w:r>
      <w:r w:rsidR="00C11405">
        <w:rPr>
          <w:sz w:val="28"/>
          <w:szCs w:val="28"/>
        </w:rPr>
        <w:t>-</w:t>
      </w:r>
      <w:r w:rsidR="00965974" w:rsidRPr="000B32BA">
        <w:rPr>
          <w:sz w:val="28"/>
          <w:szCs w:val="28"/>
        </w:rPr>
        <w:t xml:space="preserve">quada. </w:t>
      </w:r>
    </w:p>
    <w:p w:rsidR="008A6147" w:rsidRDefault="00440BE8" w:rsidP="00C11405">
      <w:pPr>
        <w:spacing w:line="360" w:lineRule="auto"/>
        <w:ind w:firstLine="709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Desde que</w:t>
      </w:r>
      <w:r w:rsidR="00965974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bem entendido, o princípio do </w:t>
      </w:r>
      <w:r w:rsidR="00C50E16" w:rsidRPr="000B32BA">
        <w:rPr>
          <w:sz w:val="28"/>
          <w:szCs w:val="28"/>
        </w:rPr>
        <w:t>“</w:t>
      </w:r>
      <w:r w:rsidRPr="000B32BA">
        <w:rPr>
          <w:sz w:val="28"/>
          <w:szCs w:val="28"/>
        </w:rPr>
        <w:t>Estado</w:t>
      </w:r>
      <w:r w:rsidR="00965974" w:rsidRPr="000B32BA">
        <w:rPr>
          <w:sz w:val="28"/>
          <w:szCs w:val="28"/>
        </w:rPr>
        <w:t xml:space="preserve"> de Direito</w:t>
      </w:r>
      <w:r w:rsidR="00C50E16" w:rsidRPr="000B32BA">
        <w:rPr>
          <w:sz w:val="28"/>
          <w:szCs w:val="28"/>
        </w:rPr>
        <w:t>”</w:t>
      </w:r>
      <w:r w:rsidR="00965974" w:rsidRPr="000B32BA">
        <w:rPr>
          <w:sz w:val="28"/>
          <w:szCs w:val="28"/>
        </w:rPr>
        <w:t xml:space="preserve"> e o princípio da </w:t>
      </w:r>
      <w:r w:rsidR="00C50E16" w:rsidRPr="000B32BA">
        <w:rPr>
          <w:sz w:val="28"/>
          <w:szCs w:val="28"/>
        </w:rPr>
        <w:t>“</w:t>
      </w:r>
      <w:r w:rsidR="00965974" w:rsidRPr="000B32BA">
        <w:rPr>
          <w:sz w:val="28"/>
          <w:szCs w:val="28"/>
        </w:rPr>
        <w:t>De</w:t>
      </w:r>
      <w:r w:rsidRPr="000B32BA">
        <w:rPr>
          <w:sz w:val="28"/>
          <w:szCs w:val="28"/>
        </w:rPr>
        <w:t>mocracia</w:t>
      </w:r>
      <w:r w:rsidR="00C50E16" w:rsidRPr="000B32BA">
        <w:rPr>
          <w:sz w:val="28"/>
          <w:szCs w:val="28"/>
        </w:rPr>
        <w:t>”</w:t>
      </w:r>
      <w:r w:rsidRPr="000B32BA">
        <w:rPr>
          <w:sz w:val="28"/>
          <w:szCs w:val="28"/>
        </w:rPr>
        <w:t xml:space="preserve"> formem uma unidade incindível. O que coloca, </w:t>
      </w:r>
      <w:r w:rsidR="00D448F3" w:rsidRPr="000B32BA">
        <w:rPr>
          <w:sz w:val="28"/>
          <w:szCs w:val="28"/>
        </w:rPr>
        <w:t>necessaria</w:t>
      </w:r>
      <w:r w:rsidRPr="000B32BA">
        <w:rPr>
          <w:sz w:val="28"/>
          <w:szCs w:val="28"/>
        </w:rPr>
        <w:t xml:space="preserve">mente, a questão de uma </w:t>
      </w:r>
      <w:r w:rsidR="00965974" w:rsidRPr="000B32BA">
        <w:rPr>
          <w:sz w:val="28"/>
          <w:szCs w:val="28"/>
        </w:rPr>
        <w:t>“</w:t>
      </w:r>
      <w:r w:rsidR="003F68AF" w:rsidRPr="000B32BA">
        <w:rPr>
          <w:sz w:val="28"/>
          <w:szCs w:val="28"/>
        </w:rPr>
        <w:t>teoria democrática de</w:t>
      </w:r>
      <w:r w:rsidRPr="000B32BA">
        <w:rPr>
          <w:sz w:val="28"/>
          <w:szCs w:val="28"/>
        </w:rPr>
        <w:t xml:space="preserve"> Go</w:t>
      </w:r>
      <w:r w:rsidR="00C11405">
        <w:rPr>
          <w:sz w:val="28"/>
          <w:szCs w:val="28"/>
        </w:rPr>
        <w:t>-</w:t>
      </w:r>
      <w:r w:rsidRPr="000B32BA">
        <w:rPr>
          <w:sz w:val="28"/>
          <w:szCs w:val="28"/>
        </w:rPr>
        <w:t>verno</w:t>
      </w:r>
      <w:r w:rsidR="00965974" w:rsidRPr="000B32BA">
        <w:rPr>
          <w:sz w:val="28"/>
          <w:szCs w:val="28"/>
        </w:rPr>
        <w:t>”</w:t>
      </w:r>
      <w:r w:rsidR="008A6147" w:rsidRPr="000B32BA">
        <w:rPr>
          <w:sz w:val="28"/>
          <w:szCs w:val="28"/>
        </w:rPr>
        <w:t xml:space="preserve"> e não apenas da “interpretação constitucional” ou do “controle</w:t>
      </w:r>
      <w:r w:rsidR="00C11405">
        <w:rPr>
          <w:sz w:val="28"/>
          <w:szCs w:val="28"/>
        </w:rPr>
        <w:t xml:space="preserve"> ju-risdicional</w:t>
      </w:r>
      <w:r w:rsidR="008A6147" w:rsidRPr="000B32BA">
        <w:rPr>
          <w:sz w:val="28"/>
          <w:szCs w:val="28"/>
        </w:rPr>
        <w:t>”</w:t>
      </w:r>
      <w:r w:rsidR="00D448F3" w:rsidRPr="000B32BA">
        <w:rPr>
          <w:sz w:val="28"/>
          <w:szCs w:val="28"/>
        </w:rPr>
        <w:t>.</w:t>
      </w:r>
    </w:p>
    <w:p w:rsidR="00C11405" w:rsidRPr="000B32BA" w:rsidRDefault="00C11405" w:rsidP="00C11405">
      <w:pPr>
        <w:spacing w:line="360" w:lineRule="auto"/>
        <w:ind w:firstLine="709"/>
        <w:jc w:val="both"/>
        <w:rPr>
          <w:sz w:val="28"/>
          <w:szCs w:val="28"/>
        </w:rPr>
      </w:pPr>
    </w:p>
    <w:p w:rsidR="00C22221" w:rsidRPr="000B32BA" w:rsidRDefault="00C22221" w:rsidP="00C22221">
      <w:pPr>
        <w:spacing w:line="360" w:lineRule="auto"/>
        <w:ind w:firstLine="709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32BA">
        <w:rPr>
          <w:b/>
          <w:sz w:val="28"/>
          <w:szCs w:val="28"/>
        </w:rPr>
        <w:t>III. Apreciação final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 escolha do método e objecto da dissertação insere-se numa livre opção do candidato. </w:t>
      </w: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 tese </w:t>
      </w:r>
      <w:r w:rsidR="00965974" w:rsidRPr="000B32BA">
        <w:rPr>
          <w:sz w:val="28"/>
          <w:szCs w:val="28"/>
        </w:rPr>
        <w:t xml:space="preserve">encontra-se </w:t>
      </w:r>
      <w:r w:rsidRPr="000B32BA">
        <w:rPr>
          <w:sz w:val="28"/>
          <w:szCs w:val="28"/>
        </w:rPr>
        <w:t>bem estruturada, revelando capacidade de investigação</w:t>
      </w:r>
      <w:r w:rsidR="00965974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inventarização de temas e problemas</w:t>
      </w:r>
      <w:r w:rsidR="00965974" w:rsidRPr="000B32BA">
        <w:rPr>
          <w:sz w:val="28"/>
          <w:szCs w:val="28"/>
        </w:rPr>
        <w:t xml:space="preserve"> e espírito crítico</w:t>
      </w:r>
      <w:r w:rsidRPr="000B32BA">
        <w:rPr>
          <w:sz w:val="28"/>
          <w:szCs w:val="28"/>
        </w:rPr>
        <w:t>.</w:t>
      </w:r>
    </w:p>
    <w:p w:rsidR="00ED7C9C" w:rsidRPr="000B32BA" w:rsidRDefault="00ED7C9C" w:rsidP="005F593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B32BA">
        <w:rPr>
          <w:color w:val="auto"/>
          <w:sz w:val="28"/>
          <w:szCs w:val="28"/>
        </w:rPr>
        <w:t>Mas denota</w:t>
      </w:r>
      <w:r w:rsidR="005F593A" w:rsidRPr="000B32BA">
        <w:rPr>
          <w:color w:val="auto"/>
          <w:sz w:val="28"/>
          <w:szCs w:val="28"/>
        </w:rPr>
        <w:t xml:space="preserve"> </w:t>
      </w:r>
      <w:r w:rsidRPr="000B32BA">
        <w:rPr>
          <w:color w:val="auto"/>
          <w:sz w:val="28"/>
          <w:szCs w:val="28"/>
        </w:rPr>
        <w:t xml:space="preserve">um certo “classicismo” na exposição e escolha da bibliografia elencada. </w:t>
      </w:r>
      <w:r w:rsidR="005F593A" w:rsidRPr="000B32BA">
        <w:rPr>
          <w:color w:val="auto"/>
          <w:sz w:val="28"/>
          <w:szCs w:val="28"/>
        </w:rPr>
        <w:t xml:space="preserve">Como nota negativa o recurso, abundante, às </w:t>
      </w:r>
      <w:r w:rsidR="005F593A" w:rsidRPr="000B32BA">
        <w:rPr>
          <w:sz w:val="28"/>
          <w:szCs w:val="28"/>
        </w:rPr>
        <w:t>cita</w:t>
      </w:r>
      <w:r w:rsidR="00C11405">
        <w:rPr>
          <w:sz w:val="28"/>
          <w:szCs w:val="28"/>
        </w:rPr>
        <w:t>-</w:t>
      </w:r>
      <w:r w:rsidR="005F593A" w:rsidRPr="000B32BA">
        <w:rPr>
          <w:sz w:val="28"/>
          <w:szCs w:val="28"/>
        </w:rPr>
        <w:t>ções indirectas, indesculpável numa dissertação de Doutoramento.</w:t>
      </w:r>
    </w:p>
    <w:p w:rsidR="00EA3ADC" w:rsidRPr="000B32BA" w:rsidRDefault="005F593A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E ainda </w:t>
      </w:r>
      <w:r w:rsidR="00D448F3" w:rsidRPr="000B32BA">
        <w:rPr>
          <w:sz w:val="28"/>
          <w:szCs w:val="28"/>
        </w:rPr>
        <w:t>um certo</w:t>
      </w:r>
      <w:r w:rsidR="00440BE8" w:rsidRPr="000B32BA">
        <w:rPr>
          <w:sz w:val="28"/>
          <w:szCs w:val="28"/>
        </w:rPr>
        <w:t xml:space="preserve"> “</w:t>
      </w:r>
      <w:r w:rsidR="00D448F3" w:rsidRPr="000B32BA">
        <w:rPr>
          <w:sz w:val="28"/>
          <w:szCs w:val="28"/>
        </w:rPr>
        <w:t>voluntarismo”</w:t>
      </w:r>
      <w:r w:rsidR="00440BE8" w:rsidRPr="000B32BA">
        <w:rPr>
          <w:sz w:val="28"/>
          <w:szCs w:val="28"/>
        </w:rPr>
        <w:t xml:space="preserve"> na análise dos </w:t>
      </w:r>
      <w:r w:rsidR="008A6147" w:rsidRPr="000B32BA">
        <w:rPr>
          <w:sz w:val="28"/>
          <w:szCs w:val="28"/>
        </w:rPr>
        <w:t>con</w:t>
      </w:r>
      <w:r w:rsidR="00D16413" w:rsidRPr="000B32BA">
        <w:rPr>
          <w:sz w:val="28"/>
          <w:szCs w:val="28"/>
        </w:rPr>
        <w:t>ceitos e meto</w:t>
      </w:r>
      <w:r w:rsidR="00C11405">
        <w:rPr>
          <w:sz w:val="28"/>
          <w:szCs w:val="28"/>
        </w:rPr>
        <w:t>-</w:t>
      </w:r>
      <w:r w:rsidR="00D16413" w:rsidRPr="000B32BA">
        <w:rPr>
          <w:sz w:val="28"/>
          <w:szCs w:val="28"/>
        </w:rPr>
        <w:t>dologia propostos</w:t>
      </w:r>
      <w:r w:rsidR="00440BE8" w:rsidRPr="000B32BA">
        <w:rPr>
          <w:sz w:val="28"/>
          <w:szCs w:val="28"/>
        </w:rPr>
        <w:t>,</w:t>
      </w:r>
      <w:r w:rsidR="0003582D" w:rsidRPr="000B32BA">
        <w:rPr>
          <w:sz w:val="28"/>
          <w:szCs w:val="28"/>
        </w:rPr>
        <w:t xml:space="preserve"> que deveria</w:t>
      </w:r>
      <w:r w:rsidR="00D16413" w:rsidRPr="000B32BA">
        <w:rPr>
          <w:sz w:val="28"/>
          <w:szCs w:val="28"/>
        </w:rPr>
        <w:t>m ser mais estritos e rigorosos</w:t>
      </w:r>
      <w:r w:rsidR="0003582D" w:rsidRPr="000B32BA">
        <w:rPr>
          <w:sz w:val="28"/>
          <w:szCs w:val="28"/>
        </w:rPr>
        <w:t xml:space="preserve">, </w:t>
      </w:r>
      <w:r w:rsidR="00440BE8" w:rsidRPr="000B32BA">
        <w:rPr>
          <w:sz w:val="28"/>
          <w:szCs w:val="28"/>
        </w:rPr>
        <w:t>fruto, porventura, d</w:t>
      </w:r>
      <w:r w:rsidR="00EA3ADC" w:rsidRPr="000B32BA">
        <w:rPr>
          <w:sz w:val="28"/>
          <w:szCs w:val="28"/>
        </w:rPr>
        <w:t>o desencanto do candidato face à imutabilidade</w:t>
      </w:r>
      <w:r w:rsidRPr="000B32BA">
        <w:rPr>
          <w:sz w:val="28"/>
          <w:szCs w:val="28"/>
        </w:rPr>
        <w:t xml:space="preserve"> e persis</w:t>
      </w:r>
      <w:r w:rsidR="00C11405">
        <w:rPr>
          <w:sz w:val="28"/>
          <w:szCs w:val="28"/>
        </w:rPr>
        <w:t>-</w:t>
      </w:r>
      <w:r w:rsidRPr="000B32BA">
        <w:rPr>
          <w:sz w:val="28"/>
          <w:szCs w:val="28"/>
        </w:rPr>
        <w:t>tência das</w:t>
      </w:r>
      <w:r w:rsidR="00EA3ADC" w:rsidRPr="000B32BA">
        <w:rPr>
          <w:sz w:val="28"/>
          <w:szCs w:val="28"/>
        </w:rPr>
        <w:t xml:space="preserve"> situações</w:t>
      </w:r>
      <w:r w:rsidRPr="000B32BA">
        <w:rPr>
          <w:sz w:val="28"/>
          <w:szCs w:val="28"/>
        </w:rPr>
        <w:t xml:space="preserve"> </w:t>
      </w:r>
      <w:r w:rsidR="003F68AF" w:rsidRPr="000B32BA">
        <w:rPr>
          <w:sz w:val="28"/>
          <w:szCs w:val="28"/>
        </w:rPr>
        <w:t>elencad</w:t>
      </w:r>
      <w:r w:rsidRPr="000B32BA">
        <w:rPr>
          <w:sz w:val="28"/>
          <w:szCs w:val="28"/>
        </w:rPr>
        <w:t>as</w:t>
      </w:r>
      <w:r w:rsidR="008A6147" w:rsidRPr="000B32BA">
        <w:rPr>
          <w:sz w:val="28"/>
          <w:szCs w:val="28"/>
        </w:rPr>
        <w:t xml:space="preserve"> e denunciadas</w:t>
      </w:r>
      <w:r w:rsidR="00EA3ADC" w:rsidRPr="000B32BA">
        <w:rPr>
          <w:sz w:val="28"/>
          <w:szCs w:val="28"/>
        </w:rPr>
        <w:t>.</w:t>
      </w: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Independentemente do discurso e esti</w:t>
      </w:r>
      <w:r w:rsidR="00C50E16" w:rsidRPr="000B32BA">
        <w:rPr>
          <w:sz w:val="28"/>
          <w:szCs w:val="28"/>
        </w:rPr>
        <w:t xml:space="preserve">lo do </w:t>
      </w:r>
      <w:r w:rsidR="005F593A" w:rsidRPr="000B32BA">
        <w:rPr>
          <w:sz w:val="28"/>
          <w:szCs w:val="28"/>
        </w:rPr>
        <w:t>ca</w:t>
      </w:r>
      <w:r w:rsidR="00C11405">
        <w:rPr>
          <w:sz w:val="28"/>
          <w:szCs w:val="28"/>
        </w:rPr>
        <w:t>ndi</w:t>
      </w:r>
      <w:r w:rsidR="00C50E16" w:rsidRPr="000B32BA">
        <w:rPr>
          <w:sz w:val="28"/>
          <w:szCs w:val="28"/>
        </w:rPr>
        <w:t>dato, a presente dis</w:t>
      </w:r>
      <w:r w:rsidRPr="000B32BA">
        <w:rPr>
          <w:sz w:val="28"/>
          <w:szCs w:val="28"/>
        </w:rPr>
        <w:t>sertação demonstra: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5E3FF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●</w:t>
      </w:r>
      <w:r w:rsidR="00440BE8" w:rsidRPr="000B32BA">
        <w:rPr>
          <w:sz w:val="28"/>
          <w:szCs w:val="28"/>
        </w:rPr>
        <w:t xml:space="preserve"> primeiro, a capacidade de escolha de um tema; e, </w:t>
      </w:r>
    </w:p>
    <w:p w:rsidR="0062335A" w:rsidRPr="000B32BA" w:rsidRDefault="005E3FFD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●</w:t>
      </w:r>
      <w:r w:rsidR="001C5D89" w:rsidRPr="000B32BA">
        <w:rPr>
          <w:sz w:val="28"/>
          <w:szCs w:val="28"/>
        </w:rPr>
        <w:t xml:space="preserve"> </w:t>
      </w:r>
      <w:r w:rsidRPr="000B32BA">
        <w:rPr>
          <w:sz w:val="28"/>
          <w:szCs w:val="28"/>
        </w:rPr>
        <w:t>segundo</w:t>
      </w:r>
      <w:r w:rsidR="00440BE8" w:rsidRPr="000B32BA">
        <w:rPr>
          <w:sz w:val="28"/>
          <w:szCs w:val="28"/>
        </w:rPr>
        <w:t xml:space="preserve">, a capacidade de o analisar e de o problematizar, nuns casos de modo mais bem conseguido, noutros não.  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5F593A" w:rsidRPr="000B32BA" w:rsidRDefault="00440BE8" w:rsidP="005F593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B32BA">
        <w:rPr>
          <w:sz w:val="28"/>
          <w:szCs w:val="28"/>
        </w:rPr>
        <w:t xml:space="preserve">Mas, creio, na universalidade e abrangência de uma tese de III Ciclo de Estudos, </w:t>
      </w:r>
      <w:r w:rsidR="00FD4E42" w:rsidRPr="000B32BA">
        <w:rPr>
          <w:sz w:val="28"/>
          <w:szCs w:val="28"/>
        </w:rPr>
        <w:t xml:space="preserve">que </w:t>
      </w:r>
      <w:r w:rsidR="003F68AF" w:rsidRPr="000B32BA">
        <w:rPr>
          <w:sz w:val="28"/>
          <w:szCs w:val="28"/>
        </w:rPr>
        <w:t>a presente D</w:t>
      </w:r>
      <w:r w:rsidRPr="000B32BA">
        <w:rPr>
          <w:sz w:val="28"/>
          <w:szCs w:val="28"/>
        </w:rPr>
        <w:t>issertação se enquadra na “missão” da Universidade</w:t>
      </w:r>
      <w:r w:rsidR="005F593A" w:rsidRPr="000B32BA">
        <w:rPr>
          <w:sz w:val="28"/>
          <w:szCs w:val="28"/>
        </w:rPr>
        <w:t>,</w:t>
      </w:r>
      <w:r w:rsidRPr="000B32BA">
        <w:rPr>
          <w:sz w:val="28"/>
          <w:szCs w:val="28"/>
        </w:rPr>
        <w:t xml:space="preserve"> enquanto “locus” da difusão </w:t>
      </w:r>
      <w:r w:rsidR="005F593A" w:rsidRPr="000B32BA">
        <w:rPr>
          <w:sz w:val="28"/>
          <w:szCs w:val="28"/>
        </w:rPr>
        <w:t xml:space="preserve">da cultura e do saber, e, </w:t>
      </w:r>
      <w:r w:rsidR="00C11405">
        <w:rPr>
          <w:sz w:val="28"/>
          <w:szCs w:val="28"/>
        </w:rPr>
        <w:t>in-</w:t>
      </w:r>
      <w:r w:rsidR="005F593A" w:rsidRPr="000B32BA">
        <w:rPr>
          <w:sz w:val="28"/>
          <w:szCs w:val="28"/>
        </w:rPr>
        <w:t xml:space="preserve">clusive, </w:t>
      </w:r>
      <w:r w:rsidR="005F593A" w:rsidRPr="000B32BA">
        <w:rPr>
          <w:color w:val="auto"/>
          <w:sz w:val="28"/>
          <w:szCs w:val="28"/>
        </w:rPr>
        <w:t>de estreitamento de laços com a Nação “irmã”</w:t>
      </w:r>
      <w:r w:rsidR="003F68AF" w:rsidRPr="000B32BA">
        <w:rPr>
          <w:color w:val="auto"/>
          <w:sz w:val="28"/>
          <w:szCs w:val="28"/>
        </w:rPr>
        <w:t xml:space="preserve"> de</w:t>
      </w:r>
      <w:r w:rsidR="00C11405">
        <w:rPr>
          <w:color w:val="auto"/>
          <w:sz w:val="28"/>
          <w:szCs w:val="28"/>
        </w:rPr>
        <w:t xml:space="preserve"> Moçambi</w:t>
      </w:r>
      <w:r w:rsidR="005F593A" w:rsidRPr="000B32BA">
        <w:rPr>
          <w:color w:val="auto"/>
          <w:sz w:val="28"/>
          <w:szCs w:val="28"/>
        </w:rPr>
        <w:t xml:space="preserve">que, </w:t>
      </w:r>
      <w:r w:rsidR="00646380" w:rsidRPr="000B32BA">
        <w:rPr>
          <w:color w:val="auto"/>
          <w:sz w:val="28"/>
          <w:szCs w:val="28"/>
        </w:rPr>
        <w:t xml:space="preserve">no quadro </w:t>
      </w:r>
      <w:r w:rsidR="005F593A" w:rsidRPr="000B32BA">
        <w:rPr>
          <w:color w:val="auto"/>
          <w:sz w:val="28"/>
          <w:szCs w:val="28"/>
        </w:rPr>
        <w:t>de um projecto educativo “aberto” à interculturalidade e in</w:t>
      </w:r>
      <w:r w:rsidR="00C11405">
        <w:rPr>
          <w:color w:val="auto"/>
          <w:sz w:val="28"/>
          <w:szCs w:val="28"/>
        </w:rPr>
        <w:t>-</w:t>
      </w:r>
      <w:r w:rsidR="005F593A" w:rsidRPr="000B32BA">
        <w:rPr>
          <w:color w:val="auto"/>
          <w:sz w:val="28"/>
          <w:szCs w:val="28"/>
        </w:rPr>
        <w:t xml:space="preserve">ternacionalização. </w:t>
      </w:r>
    </w:p>
    <w:p w:rsidR="005F593A" w:rsidRPr="000B32BA" w:rsidRDefault="005F593A" w:rsidP="005F593A">
      <w:pPr>
        <w:spacing w:line="360" w:lineRule="auto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Ao candidato, resta-me desejar-lhe as maiores felicidades </w:t>
      </w:r>
      <w:r w:rsidR="00646380" w:rsidRPr="000B32BA">
        <w:rPr>
          <w:sz w:val="28"/>
          <w:szCs w:val="28"/>
        </w:rPr>
        <w:t xml:space="preserve">e êxito </w:t>
      </w:r>
      <w:r w:rsidRPr="000B32BA">
        <w:rPr>
          <w:sz w:val="28"/>
          <w:szCs w:val="28"/>
        </w:rPr>
        <w:t>nas provas que</w:t>
      </w:r>
      <w:r w:rsidR="00646380" w:rsidRPr="000B32BA">
        <w:rPr>
          <w:sz w:val="28"/>
          <w:szCs w:val="28"/>
        </w:rPr>
        <w:t xml:space="preserve"> se vão realizar</w:t>
      </w:r>
      <w:r w:rsidRPr="000B32BA">
        <w:rPr>
          <w:sz w:val="28"/>
          <w:szCs w:val="28"/>
        </w:rPr>
        <w:t>.</w:t>
      </w:r>
    </w:p>
    <w:p w:rsidR="00A578A3" w:rsidRPr="000B32BA" w:rsidRDefault="00A578A3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>Muito Obrigada.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62335A" w:rsidRPr="000B32BA" w:rsidRDefault="00440BE8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Porto, </w:t>
      </w:r>
      <w:r w:rsidR="00A578A3" w:rsidRPr="000B32BA">
        <w:rPr>
          <w:sz w:val="28"/>
          <w:szCs w:val="28"/>
        </w:rPr>
        <w:t>4 de Julho de 2017</w:t>
      </w:r>
      <w:r w:rsidRPr="000B32BA">
        <w:rPr>
          <w:sz w:val="28"/>
          <w:szCs w:val="28"/>
        </w:rPr>
        <w:t>.</w:t>
      </w:r>
    </w:p>
    <w:p w:rsidR="0062335A" w:rsidRPr="000B32BA" w:rsidRDefault="0062335A">
      <w:pPr>
        <w:spacing w:line="360" w:lineRule="auto"/>
        <w:ind w:firstLine="567"/>
        <w:jc w:val="both"/>
        <w:rPr>
          <w:sz w:val="28"/>
          <w:szCs w:val="28"/>
        </w:rPr>
      </w:pPr>
    </w:p>
    <w:p w:rsidR="007038B9" w:rsidRPr="000B32BA" w:rsidRDefault="00965974" w:rsidP="00C22221">
      <w:pPr>
        <w:spacing w:line="360" w:lineRule="auto"/>
        <w:ind w:firstLine="567"/>
        <w:jc w:val="both"/>
        <w:rPr>
          <w:sz w:val="28"/>
          <w:szCs w:val="28"/>
        </w:rPr>
      </w:pPr>
      <w:r w:rsidRPr="000B32BA">
        <w:rPr>
          <w:sz w:val="28"/>
          <w:szCs w:val="28"/>
        </w:rPr>
        <w:t xml:space="preserve">Cristina </w:t>
      </w:r>
      <w:r w:rsidR="003A1971" w:rsidRPr="000B32BA">
        <w:rPr>
          <w:sz w:val="28"/>
          <w:szCs w:val="28"/>
        </w:rPr>
        <w:t xml:space="preserve">M. M. </w:t>
      </w:r>
      <w:r w:rsidRPr="000B32BA">
        <w:rPr>
          <w:sz w:val="28"/>
          <w:szCs w:val="28"/>
        </w:rPr>
        <w:t xml:space="preserve">Queiroz </w:t>
      </w:r>
    </w:p>
    <w:p w:rsidR="00C22221" w:rsidRPr="000B32BA" w:rsidRDefault="00C22221" w:rsidP="00C22221">
      <w:pPr>
        <w:spacing w:line="360" w:lineRule="auto"/>
        <w:ind w:firstLine="567"/>
        <w:jc w:val="both"/>
        <w:rPr>
          <w:sz w:val="28"/>
          <w:szCs w:val="28"/>
        </w:rPr>
      </w:pPr>
    </w:p>
    <w:sectPr w:rsidR="00C22221" w:rsidRPr="000B32BA" w:rsidSect="00364F74">
      <w:footerReference w:type="default" r:id="rId8"/>
      <w:pgSz w:w="11906" w:h="16838"/>
      <w:pgMar w:top="1417" w:right="1701" w:bottom="1417" w:left="212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D4" w:rsidRDefault="00DA0AD4">
      <w:r>
        <w:separator/>
      </w:r>
    </w:p>
  </w:endnote>
  <w:endnote w:type="continuationSeparator" w:id="0">
    <w:p w:rsidR="00DA0AD4" w:rsidRDefault="00DA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533730"/>
      <w:docPartObj>
        <w:docPartGallery w:val="Page Numbers (Bottom of Page)"/>
        <w:docPartUnique/>
      </w:docPartObj>
    </w:sdtPr>
    <w:sdtEndPr/>
    <w:sdtContent>
      <w:p w:rsidR="008E1C78" w:rsidRDefault="008E1C78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53817">
          <w:rPr>
            <w:noProof/>
          </w:rPr>
          <w:t>2</w:t>
        </w:r>
        <w:r>
          <w:fldChar w:fldCharType="end"/>
        </w:r>
      </w:p>
    </w:sdtContent>
  </w:sdt>
  <w:p w:rsidR="008E1C78" w:rsidRDefault="008E1C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D4" w:rsidRDefault="00DA0AD4">
      <w:r>
        <w:separator/>
      </w:r>
    </w:p>
  </w:footnote>
  <w:footnote w:type="continuationSeparator" w:id="0">
    <w:p w:rsidR="00DA0AD4" w:rsidRDefault="00DA0AD4">
      <w:r>
        <w:continuationSeparator/>
      </w:r>
    </w:p>
  </w:footnote>
  <w:footnote w:id="1">
    <w:p w:rsidR="008E1C78" w:rsidRPr="00C27997" w:rsidRDefault="008E1C78" w:rsidP="00C50A0E">
      <w:pPr>
        <w:spacing w:line="360" w:lineRule="auto"/>
        <w:ind w:firstLine="567"/>
        <w:jc w:val="both"/>
      </w:pPr>
      <w:r w:rsidRPr="00B831AD">
        <w:rPr>
          <w:rStyle w:val="Refdenotaderodap"/>
          <w:rFonts w:eastAsiaTheme="majorEastAsia"/>
          <w:sz w:val="24"/>
        </w:rPr>
        <w:footnoteRef/>
      </w:r>
      <w:r w:rsidRPr="00B831AD">
        <w:rPr>
          <w:rStyle w:val="Refdenotaderodap"/>
          <w:rFonts w:eastAsiaTheme="majorEastAsia"/>
          <w:sz w:val="24"/>
        </w:rPr>
        <w:t xml:space="preserve"> </w:t>
      </w:r>
      <w:r w:rsidRPr="00B831AD">
        <w:rPr>
          <w:rFonts w:eastAsiaTheme="majorEastAsia"/>
        </w:rPr>
        <w:t xml:space="preserve">KARL </w:t>
      </w:r>
      <w:r w:rsidRPr="00B831AD">
        <w:rPr>
          <w:lang w:val="en-US"/>
        </w:rPr>
        <w:t xml:space="preserve">LOEWENSTEIN, </w:t>
      </w:r>
      <w:r w:rsidR="007038B9" w:rsidRPr="000E44BF">
        <w:rPr>
          <w:i/>
          <w:lang w:val="en-GB"/>
        </w:rPr>
        <w:t xml:space="preserve">Political Power and the Governmental Process </w:t>
      </w:r>
      <w:r w:rsidR="007038B9">
        <w:rPr>
          <w:lang w:val="en-GB"/>
        </w:rPr>
        <w:t>(trad</w:t>
      </w:r>
      <w:r w:rsidR="007038B9" w:rsidRPr="00C27997">
        <w:rPr>
          <w:lang w:val="en-GB"/>
        </w:rPr>
        <w:t xml:space="preserve">. cast. “Teoría de la Constitución”), </w:t>
      </w:r>
      <w:r w:rsidR="007038B9" w:rsidRPr="00C27997">
        <w:rPr>
          <w:lang w:val="es-ES"/>
        </w:rPr>
        <w:t>Barcelona, 1979, pp. 216 ss</w:t>
      </w:r>
      <w:r w:rsidRPr="00C27997">
        <w:rPr>
          <w:rFonts w:eastAsiaTheme="majorEastAsia"/>
        </w:rPr>
        <w:t>.</w:t>
      </w:r>
    </w:p>
  </w:footnote>
  <w:footnote w:id="2">
    <w:p w:rsidR="00C27997" w:rsidRPr="00C27997" w:rsidRDefault="00C27997" w:rsidP="00C27997">
      <w:pPr>
        <w:spacing w:line="360" w:lineRule="auto"/>
        <w:ind w:firstLine="567"/>
        <w:jc w:val="both"/>
      </w:pPr>
      <w:r w:rsidRPr="00C27997">
        <w:rPr>
          <w:rStyle w:val="Refdenotaderodap"/>
          <w:rFonts w:eastAsiaTheme="majorEastAsia"/>
          <w:sz w:val="24"/>
        </w:rPr>
        <w:footnoteRef/>
      </w:r>
      <w:r w:rsidRPr="00C27997">
        <w:rPr>
          <w:rStyle w:val="Refdenotaderodap"/>
          <w:rFonts w:eastAsiaTheme="majorEastAsia"/>
          <w:sz w:val="24"/>
        </w:rPr>
        <w:t xml:space="preserve"> </w:t>
      </w:r>
      <w:r w:rsidRPr="00C27997">
        <w:rPr>
          <w:rFonts w:eastAsiaTheme="majorEastAsia"/>
        </w:rPr>
        <w:t xml:space="preserve">BODO </w:t>
      </w:r>
      <w:r>
        <w:rPr>
          <w:lang w:val="de-DE"/>
        </w:rPr>
        <w:t>PIEROTH</w:t>
      </w:r>
      <w:r w:rsidRPr="00C27997">
        <w:rPr>
          <w:lang w:val="de-DE"/>
        </w:rPr>
        <w:t xml:space="preserve"> e BERNHARD SCHLINK, </w:t>
      </w:r>
      <w:r w:rsidRPr="00C27997">
        <w:rPr>
          <w:i/>
          <w:lang w:val="de-DE"/>
        </w:rPr>
        <w:t>Grundrechte ― Staatsrecht II</w:t>
      </w:r>
      <w:r w:rsidRPr="00C27997">
        <w:rPr>
          <w:lang w:val="de-DE"/>
        </w:rPr>
        <w:t>, 19ª ed., Heidelberga, 2003</w:t>
      </w:r>
      <w:r>
        <w:rPr>
          <w:lang w:val="de-DE"/>
        </w:rPr>
        <w:t>, pp</w:t>
      </w:r>
      <w:r w:rsidRPr="00C27997">
        <w:rPr>
          <w:rFonts w:eastAsiaTheme="majorEastAsia"/>
        </w:rPr>
        <w:t xml:space="preserve">. </w:t>
      </w:r>
      <w:r w:rsidR="007E6B2D">
        <w:rPr>
          <w:rFonts w:eastAsiaTheme="majorEastAsia"/>
        </w:rPr>
        <w:t>60 ss.</w:t>
      </w:r>
    </w:p>
  </w:footnote>
  <w:footnote w:id="3">
    <w:p w:rsidR="008E1C78" w:rsidRPr="00B831AD" w:rsidRDefault="008E1C78" w:rsidP="007C1C2B">
      <w:pPr>
        <w:spacing w:line="360" w:lineRule="auto"/>
        <w:ind w:firstLine="567"/>
        <w:jc w:val="both"/>
      </w:pPr>
      <w:r w:rsidRPr="007C1C2B">
        <w:rPr>
          <w:rStyle w:val="Refdenotaderodap"/>
          <w:rFonts w:eastAsiaTheme="majorEastAsia"/>
          <w:sz w:val="24"/>
        </w:rPr>
        <w:footnoteRef/>
      </w:r>
      <w:r w:rsidRPr="007C1C2B">
        <w:rPr>
          <w:rStyle w:val="Refdenotaderodap"/>
          <w:rFonts w:eastAsiaTheme="majorEastAsia"/>
          <w:sz w:val="24"/>
        </w:rPr>
        <w:t xml:space="preserve"> </w:t>
      </w:r>
      <w:r w:rsidRPr="007C1C2B">
        <w:rPr>
          <w:rFonts w:eastAsiaTheme="majorEastAsia"/>
        </w:rPr>
        <w:t xml:space="preserve">GEORG </w:t>
      </w:r>
      <w:r w:rsidRPr="007C1C2B">
        <w:rPr>
          <w:lang w:val="en-US"/>
        </w:rPr>
        <w:t xml:space="preserve">JELLINEK, </w:t>
      </w:r>
      <w:r w:rsidRPr="007C1C2B">
        <w:rPr>
          <w:i/>
          <w:lang w:val="en-US"/>
        </w:rPr>
        <w:t>Allgemeine Staatslehre</w:t>
      </w:r>
      <w:r>
        <w:rPr>
          <w:i/>
          <w:lang w:val="en-US"/>
        </w:rPr>
        <w:t xml:space="preserve"> </w:t>
      </w:r>
      <w:r>
        <w:rPr>
          <w:lang w:val="en-US"/>
        </w:rPr>
        <w:t>[1900]</w:t>
      </w:r>
      <w:r w:rsidRPr="007C1C2B">
        <w:rPr>
          <w:lang w:val="en-US"/>
        </w:rPr>
        <w:t xml:space="preserve">, </w:t>
      </w:r>
      <w:r w:rsidRPr="007C1C2B">
        <w:rPr>
          <w:lang w:val="de-DE"/>
        </w:rPr>
        <w:t>3ª ed., 7ª reimp., Dar-mstadt, 1960</w:t>
      </w:r>
      <w:r>
        <w:rPr>
          <w:lang w:val="de-DE"/>
        </w:rPr>
        <w:t>, p</w:t>
      </w:r>
      <w:r w:rsidRPr="00B831AD">
        <w:rPr>
          <w:rFonts w:eastAsiaTheme="majorEastAsia"/>
        </w:rPr>
        <w:t>.</w:t>
      </w:r>
      <w:r>
        <w:rPr>
          <w:rFonts w:eastAsiaTheme="majorEastAsia"/>
        </w:rPr>
        <w:t xml:space="preserve"> 420. </w:t>
      </w:r>
    </w:p>
  </w:footnote>
  <w:footnote w:id="4">
    <w:p w:rsidR="00BA0152" w:rsidRPr="00B831AD" w:rsidRDefault="00BA0152" w:rsidP="00BA0152">
      <w:pPr>
        <w:spacing w:line="360" w:lineRule="auto"/>
        <w:ind w:firstLine="567"/>
        <w:jc w:val="both"/>
      </w:pPr>
      <w:r w:rsidRPr="00BA0152">
        <w:rPr>
          <w:rStyle w:val="Refdenotaderodap"/>
          <w:rFonts w:eastAsiaTheme="majorEastAsia"/>
          <w:sz w:val="24"/>
        </w:rPr>
        <w:footnoteRef/>
      </w:r>
      <w:r w:rsidRPr="00BA0152">
        <w:rPr>
          <w:rStyle w:val="Refdenotaderodap"/>
          <w:rFonts w:eastAsiaTheme="majorEastAsia"/>
          <w:sz w:val="24"/>
        </w:rPr>
        <w:t xml:space="preserve"> </w:t>
      </w:r>
      <w:r w:rsidRPr="00BA0152">
        <w:rPr>
          <w:rFonts w:eastAsiaTheme="majorEastAsia"/>
        </w:rPr>
        <w:t xml:space="preserve">Nestes termos, AHARON </w:t>
      </w:r>
      <w:r w:rsidRPr="00BA0152">
        <w:rPr>
          <w:lang w:val="es-ES"/>
        </w:rPr>
        <w:t xml:space="preserve">BARAK, </w:t>
      </w:r>
      <w:r w:rsidRPr="00BA0152">
        <w:rPr>
          <w:i/>
          <w:lang w:val="es-ES"/>
        </w:rPr>
        <w:t>Human Dignity. The Constitutional Value and the Constitutional Right</w:t>
      </w:r>
      <w:r w:rsidRPr="00BA0152">
        <w:rPr>
          <w:lang w:val="es-ES"/>
        </w:rPr>
        <w:t>, Cambridge: Cambridge University Press,</w:t>
      </w:r>
      <w:r>
        <w:rPr>
          <w:lang w:val="es-ES"/>
        </w:rPr>
        <w:t xml:space="preserve"> 2015</w:t>
      </w:r>
      <w:r>
        <w:rPr>
          <w:rFonts w:eastAsiaTheme="majorEastAsia"/>
        </w:rPr>
        <w:t xml:space="preserve">. </w:t>
      </w:r>
    </w:p>
  </w:footnote>
  <w:footnote w:id="5">
    <w:p w:rsidR="003C0197" w:rsidRPr="00B831AD" w:rsidRDefault="003C0197" w:rsidP="003C0197">
      <w:pPr>
        <w:spacing w:line="360" w:lineRule="auto"/>
        <w:ind w:firstLine="567"/>
        <w:jc w:val="both"/>
      </w:pPr>
      <w:r w:rsidRPr="007C1C2B">
        <w:rPr>
          <w:rStyle w:val="Refdenotaderodap"/>
          <w:rFonts w:eastAsiaTheme="majorEastAsia"/>
          <w:sz w:val="24"/>
        </w:rPr>
        <w:footnoteRef/>
      </w:r>
      <w:r>
        <w:rPr>
          <w:rFonts w:eastAsiaTheme="majorEastAsia"/>
        </w:rPr>
        <w:t xml:space="preserve"> Cfr., </w:t>
      </w:r>
      <w:r w:rsidR="0026733D">
        <w:rPr>
          <w:i/>
          <w:lang w:val="en-GB"/>
        </w:rPr>
        <w:t>Barcelona Tractions, Light and Power Company Limited</w:t>
      </w:r>
      <w:r w:rsidR="0026733D">
        <w:rPr>
          <w:lang w:val="en-GB"/>
        </w:rPr>
        <w:t>, 1970 ICJ (Tri-bunal Internacional de Justiça), 3, § 33</w:t>
      </w:r>
      <w:r w:rsidR="00BA0152">
        <w:rPr>
          <w:lang w:val="en-GB"/>
        </w:rPr>
        <w:t xml:space="preserve"> </w:t>
      </w:r>
      <w:r>
        <w:rPr>
          <w:rFonts w:eastAsiaTheme="majorEastAsia"/>
        </w:rPr>
        <w:t xml:space="preserve">TIJ. </w:t>
      </w:r>
    </w:p>
  </w:footnote>
  <w:footnote w:id="6">
    <w:p w:rsidR="008E1C78" w:rsidRPr="00B831AD" w:rsidRDefault="008E1C78" w:rsidP="007B1798">
      <w:pPr>
        <w:spacing w:line="360" w:lineRule="auto"/>
        <w:ind w:firstLine="567"/>
        <w:jc w:val="both"/>
      </w:pPr>
      <w:r w:rsidRPr="007C1C2B">
        <w:rPr>
          <w:rStyle w:val="Refdenotaderodap"/>
          <w:rFonts w:eastAsiaTheme="majorEastAsia"/>
          <w:sz w:val="24"/>
        </w:rPr>
        <w:footnoteRef/>
      </w:r>
      <w:r>
        <w:rPr>
          <w:rFonts w:eastAsiaTheme="majorEastAsia"/>
        </w:rPr>
        <w:t xml:space="preserve"> </w:t>
      </w:r>
      <w:r w:rsidR="00BC6DE8">
        <w:rPr>
          <w:rFonts w:eastAsiaTheme="majorEastAsia"/>
        </w:rPr>
        <w:t>HANS KELSEN</w:t>
      </w:r>
      <w:r w:rsidR="003942AD">
        <w:rPr>
          <w:rFonts w:eastAsiaTheme="majorEastAsia"/>
        </w:rPr>
        <w:t xml:space="preserve">, </w:t>
      </w:r>
      <w:r w:rsidR="003942AD">
        <w:rPr>
          <w:i/>
          <w:lang w:val="en-GB"/>
        </w:rPr>
        <w:t>The Principle of Sovereign Equality of States as a Basis for International Organization</w:t>
      </w:r>
      <w:r w:rsidR="003942AD">
        <w:rPr>
          <w:lang w:val="en-GB"/>
        </w:rPr>
        <w:t>, in: 53 “Y</w:t>
      </w:r>
      <w:r w:rsidR="007E0EAB">
        <w:rPr>
          <w:lang w:val="en-GB"/>
        </w:rPr>
        <w:t xml:space="preserve">ale Law Journal” (1944), </w:t>
      </w:r>
      <w:r w:rsidR="00BB092D">
        <w:rPr>
          <w:lang w:val="en-GB"/>
        </w:rPr>
        <w:t>p</w:t>
      </w:r>
      <w:r w:rsidR="007E0EAB">
        <w:rPr>
          <w:lang w:val="en-GB"/>
        </w:rPr>
        <w:t>p. 2</w:t>
      </w:r>
      <w:r w:rsidR="00BB092D">
        <w:rPr>
          <w:lang w:val="en-GB"/>
        </w:rPr>
        <w:t>07 ss.</w:t>
      </w:r>
      <w:r w:rsidR="007E0EAB">
        <w:rPr>
          <w:lang w:val="en-GB"/>
        </w:rPr>
        <w:t xml:space="preserve">, e </w:t>
      </w:r>
      <w:r w:rsidR="007E0EAB" w:rsidRPr="00BE35D6">
        <w:rPr>
          <w:i/>
        </w:rPr>
        <w:t xml:space="preserve">Reine Rechtslehre </w:t>
      </w:r>
      <w:r w:rsidR="007E0EAB">
        <w:t>(trad. port. de J. Baptista Ma</w:t>
      </w:r>
      <w:r w:rsidR="007E0EAB" w:rsidRPr="00BE35D6">
        <w:t>chado, “Teoria Pura do D</w:t>
      </w:r>
      <w:r w:rsidR="007E0EAB">
        <w:t>ireito”), 4ª ed., Coimbra, 1976, pp. 451 ss</w:t>
      </w:r>
      <w:r w:rsidR="00BB092D">
        <w:t>.</w:t>
      </w:r>
      <w:r w:rsidR="003942AD">
        <w:rPr>
          <w:lang w:val="en-GB"/>
        </w:rPr>
        <w:t xml:space="preserve"> </w:t>
      </w:r>
    </w:p>
  </w:footnote>
  <w:footnote w:id="7">
    <w:p w:rsidR="003942AD" w:rsidRPr="003942AD" w:rsidRDefault="003942AD" w:rsidP="003942AD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3942AD">
        <w:rPr>
          <w:rStyle w:val="Refdenotaderodap"/>
          <w:sz w:val="24"/>
          <w:szCs w:val="24"/>
        </w:rPr>
        <w:footnoteRef/>
      </w:r>
      <w:r w:rsidRPr="003942AD">
        <w:rPr>
          <w:sz w:val="24"/>
          <w:szCs w:val="24"/>
          <w:lang w:val="en-GB"/>
        </w:rPr>
        <w:t xml:space="preserve"> Para uma “re-conceptualização” do conceito de “comunidade internacional” no quadro das modernas teorias da “racionalização” do Direito e do consequente processo de “constitucionalização” do Direito Internacional, HERMAN MOSLER, </w:t>
      </w:r>
      <w:r w:rsidRPr="003942AD">
        <w:rPr>
          <w:i/>
          <w:sz w:val="24"/>
          <w:szCs w:val="24"/>
          <w:lang w:val="en-GB"/>
        </w:rPr>
        <w:t>The International Society as a Legal Community</w:t>
      </w:r>
      <w:r w:rsidRPr="003942AD">
        <w:rPr>
          <w:sz w:val="24"/>
          <w:szCs w:val="24"/>
          <w:lang w:val="en-GB"/>
        </w:rPr>
        <w:t>, in: 140</w:t>
      </w:r>
      <w:r w:rsidRPr="003942AD">
        <w:rPr>
          <w:i/>
          <w:sz w:val="24"/>
          <w:szCs w:val="24"/>
          <w:lang w:val="en-GB"/>
        </w:rPr>
        <w:t xml:space="preserve"> </w:t>
      </w:r>
      <w:r w:rsidRPr="003942AD">
        <w:rPr>
          <w:sz w:val="24"/>
          <w:szCs w:val="24"/>
          <w:lang w:val="en-GB"/>
        </w:rPr>
        <w:t xml:space="preserve">“Recueil des Cours” (1974), pp. 11 ss., PHILIP ALLOTT, </w:t>
      </w:r>
      <w:r w:rsidRPr="003942AD">
        <w:rPr>
          <w:i/>
          <w:sz w:val="24"/>
          <w:szCs w:val="24"/>
          <w:lang w:val="en-GB"/>
        </w:rPr>
        <w:t>Eunomia: A New Order for a New World,</w:t>
      </w:r>
      <w:r w:rsidR="00DB5179">
        <w:rPr>
          <w:sz w:val="24"/>
          <w:szCs w:val="24"/>
          <w:lang w:val="en-GB"/>
        </w:rPr>
        <w:t xml:space="preserve"> Oxford: Oxford Uni</w:t>
      </w:r>
      <w:r w:rsidRPr="003942AD">
        <w:rPr>
          <w:sz w:val="24"/>
          <w:szCs w:val="24"/>
          <w:lang w:val="en-GB"/>
        </w:rPr>
        <w:t xml:space="preserve">versity Press, 1990, pp. 8 ss., BRUNO SIMMA, </w:t>
      </w:r>
      <w:r w:rsidRPr="003942AD">
        <w:rPr>
          <w:i/>
          <w:sz w:val="24"/>
          <w:szCs w:val="24"/>
          <w:lang w:val="en-GB"/>
        </w:rPr>
        <w:t>Fr</w:t>
      </w:r>
      <w:r w:rsidR="00DB5179">
        <w:rPr>
          <w:i/>
          <w:sz w:val="24"/>
          <w:szCs w:val="24"/>
          <w:lang w:val="en-GB"/>
        </w:rPr>
        <w:t>om Bilateralism to Community In</w:t>
      </w:r>
      <w:r w:rsidRPr="003942AD">
        <w:rPr>
          <w:i/>
          <w:sz w:val="24"/>
          <w:szCs w:val="24"/>
          <w:lang w:val="en-GB"/>
        </w:rPr>
        <w:t>terest in International Law</w:t>
      </w:r>
      <w:r w:rsidRPr="003942AD">
        <w:rPr>
          <w:sz w:val="24"/>
          <w:szCs w:val="24"/>
          <w:lang w:val="en-GB"/>
        </w:rPr>
        <w:t>, in: 250 “Recueil des Co</w:t>
      </w:r>
      <w:r w:rsidR="00DB5179">
        <w:rPr>
          <w:sz w:val="24"/>
          <w:szCs w:val="24"/>
          <w:lang w:val="en-GB"/>
        </w:rPr>
        <w:t>urs” (1994), pp. 217 ss., CHRIS</w:t>
      </w:r>
      <w:r w:rsidRPr="003942AD">
        <w:rPr>
          <w:sz w:val="24"/>
          <w:szCs w:val="24"/>
          <w:lang w:val="en-GB"/>
        </w:rPr>
        <w:t xml:space="preserve">TIAN TOMUSCHAT, </w:t>
      </w:r>
      <w:r w:rsidRPr="003942AD">
        <w:rPr>
          <w:i/>
          <w:sz w:val="24"/>
          <w:szCs w:val="24"/>
          <w:lang w:val="fr-FR"/>
        </w:rPr>
        <w:t>Staatlichtliche Entscheidung für die inter</w:t>
      </w:r>
      <w:r w:rsidR="00DB5179">
        <w:rPr>
          <w:i/>
          <w:sz w:val="24"/>
          <w:szCs w:val="24"/>
          <w:lang w:val="fr-FR"/>
        </w:rPr>
        <w:t>-</w:t>
      </w:r>
      <w:r w:rsidRPr="003942AD">
        <w:rPr>
          <w:i/>
          <w:sz w:val="24"/>
          <w:szCs w:val="24"/>
          <w:lang w:val="fr-FR"/>
        </w:rPr>
        <w:t>nationale Offenheit</w:t>
      </w:r>
      <w:r w:rsidRPr="003942AD">
        <w:rPr>
          <w:sz w:val="24"/>
          <w:szCs w:val="24"/>
          <w:lang w:val="fr-FR"/>
        </w:rPr>
        <w:t xml:space="preserve">, in: ISENSEE/KIRCHHOF (eds.), </w:t>
      </w:r>
      <w:r w:rsidRPr="003942AD">
        <w:rPr>
          <w:sz w:val="24"/>
          <w:szCs w:val="24"/>
          <w:lang w:val="de-DE"/>
        </w:rPr>
        <w:t xml:space="preserve">“Handbuch des Staatsrechts der </w:t>
      </w:r>
      <w:r w:rsidR="00DB5179">
        <w:rPr>
          <w:sz w:val="24"/>
          <w:szCs w:val="24"/>
          <w:lang w:val="de-DE"/>
        </w:rPr>
        <w:t>Bundesrepublik Deuts</w:t>
      </w:r>
      <w:r w:rsidRPr="003942AD">
        <w:rPr>
          <w:sz w:val="24"/>
          <w:szCs w:val="24"/>
          <w:lang w:val="de-DE"/>
        </w:rPr>
        <w:t>chland”, XI (“Internationale Bezüge”), 3ª ed., Hei</w:t>
      </w:r>
      <w:r w:rsidR="00DB5179">
        <w:rPr>
          <w:sz w:val="24"/>
          <w:szCs w:val="24"/>
          <w:lang w:val="de-DE"/>
        </w:rPr>
        <w:t>-</w:t>
      </w:r>
      <w:r w:rsidRPr="003942AD">
        <w:rPr>
          <w:sz w:val="24"/>
          <w:szCs w:val="24"/>
          <w:lang w:val="de-DE"/>
        </w:rPr>
        <w:t xml:space="preserve">delberga, 2013, pp. 3 ss., e </w:t>
      </w:r>
      <w:r w:rsidR="00DB5179">
        <w:rPr>
          <w:i/>
          <w:sz w:val="24"/>
          <w:szCs w:val="24"/>
          <w:lang w:val="en-GB"/>
        </w:rPr>
        <w:t>Interna</w:t>
      </w:r>
      <w:r w:rsidRPr="003942AD">
        <w:rPr>
          <w:i/>
          <w:sz w:val="24"/>
          <w:szCs w:val="24"/>
          <w:lang w:val="en-GB"/>
        </w:rPr>
        <w:t xml:space="preserve">tional Law: Ensuring the Survival of Mankind on the Eve of a New Century. </w:t>
      </w:r>
      <w:r w:rsidRPr="003942AD">
        <w:rPr>
          <w:i/>
          <w:sz w:val="24"/>
          <w:szCs w:val="24"/>
          <w:lang w:val="de-DE"/>
        </w:rPr>
        <w:t>General Course on Public International Law</w:t>
      </w:r>
      <w:r w:rsidRPr="003942AD">
        <w:rPr>
          <w:sz w:val="24"/>
          <w:szCs w:val="24"/>
          <w:lang w:val="de-DE"/>
        </w:rPr>
        <w:t xml:space="preserve">, in: 281 “Recueil des Cours” (1999), pp. 9 ss., JOCHEN Abr. FROWEIN, </w:t>
      </w:r>
      <w:r w:rsidRPr="003942AD">
        <w:rPr>
          <w:i/>
          <w:sz w:val="24"/>
          <w:szCs w:val="24"/>
          <w:lang w:val="de-DE"/>
        </w:rPr>
        <w:t>Konstitutiona</w:t>
      </w:r>
      <w:r w:rsidR="00DB5179">
        <w:rPr>
          <w:i/>
          <w:sz w:val="24"/>
          <w:szCs w:val="24"/>
          <w:lang w:val="de-DE"/>
        </w:rPr>
        <w:t>-</w:t>
      </w:r>
      <w:r w:rsidRPr="003942AD">
        <w:rPr>
          <w:i/>
          <w:sz w:val="24"/>
          <w:szCs w:val="24"/>
          <w:lang w:val="de-DE"/>
        </w:rPr>
        <w:t>lisierung des Völkerrechts</w:t>
      </w:r>
      <w:r w:rsidRPr="003942AD">
        <w:rPr>
          <w:sz w:val="24"/>
          <w:szCs w:val="24"/>
          <w:lang w:val="de-DE"/>
        </w:rPr>
        <w:t>, in: 39 “Bericht der deutschen Gesellschaft für Völker</w:t>
      </w:r>
      <w:r w:rsidR="00DB5179">
        <w:rPr>
          <w:sz w:val="24"/>
          <w:szCs w:val="24"/>
          <w:lang w:val="de-DE"/>
        </w:rPr>
        <w:t>-</w:t>
      </w:r>
      <w:r w:rsidRPr="003942AD">
        <w:rPr>
          <w:sz w:val="24"/>
          <w:szCs w:val="24"/>
          <w:lang w:val="de-DE"/>
        </w:rPr>
        <w:t>recht. Völkerrecht und Internationales Recht in einen sich globalisierenden interna</w:t>
      </w:r>
      <w:r w:rsidR="00DB5179">
        <w:rPr>
          <w:sz w:val="24"/>
          <w:szCs w:val="24"/>
          <w:lang w:val="de-DE"/>
        </w:rPr>
        <w:t>-</w:t>
      </w:r>
      <w:r w:rsidRPr="003942AD">
        <w:rPr>
          <w:sz w:val="24"/>
          <w:szCs w:val="24"/>
          <w:lang w:val="de-DE"/>
        </w:rPr>
        <w:t xml:space="preserve">tionalen System”, Heidelberga, 2000, pp. 427 ss., BRUN-OTTO BRYDE, </w:t>
      </w:r>
      <w:r w:rsidRPr="003942AD">
        <w:rPr>
          <w:i/>
          <w:sz w:val="24"/>
          <w:szCs w:val="24"/>
          <w:lang w:val="de-DE"/>
        </w:rPr>
        <w:t>Konstitu</w:t>
      </w:r>
      <w:r w:rsidR="00DB5179">
        <w:rPr>
          <w:i/>
          <w:sz w:val="24"/>
          <w:szCs w:val="24"/>
          <w:lang w:val="de-DE"/>
        </w:rPr>
        <w:t>-</w:t>
      </w:r>
      <w:r w:rsidRPr="003942AD">
        <w:rPr>
          <w:i/>
          <w:sz w:val="24"/>
          <w:szCs w:val="24"/>
          <w:lang w:val="de-DE"/>
        </w:rPr>
        <w:t>tionalisierung des Völkerrechts und Internationalisierung des Verfassungsrechts</w:t>
      </w:r>
      <w:r w:rsidRPr="003942AD">
        <w:rPr>
          <w:sz w:val="24"/>
          <w:szCs w:val="24"/>
          <w:lang w:val="de-DE"/>
        </w:rPr>
        <w:t xml:space="preserve">, in: 42 “Der Staat” (2003), pp. 62 ss., e ARMIN v. BOGDANDY, </w:t>
      </w:r>
      <w:r w:rsidRPr="003942AD">
        <w:rPr>
          <w:i/>
          <w:sz w:val="24"/>
          <w:szCs w:val="24"/>
          <w:lang w:val="de-DE"/>
        </w:rPr>
        <w:t>Prinzipien von Staat, supranationalen und internationalen Organizationen</w:t>
      </w:r>
      <w:r w:rsidRPr="003942AD">
        <w:rPr>
          <w:sz w:val="24"/>
          <w:szCs w:val="24"/>
          <w:lang w:val="de-DE"/>
        </w:rPr>
        <w:t>, in:</w:t>
      </w:r>
      <w:r w:rsidRPr="003942AD">
        <w:rPr>
          <w:sz w:val="24"/>
          <w:szCs w:val="24"/>
          <w:lang w:val="en-US"/>
        </w:rPr>
        <w:t xml:space="preserve"> </w:t>
      </w:r>
      <w:r w:rsidR="00DB5179">
        <w:rPr>
          <w:sz w:val="24"/>
          <w:szCs w:val="24"/>
          <w:lang w:val="en-US"/>
        </w:rPr>
        <w:t>ISEN</w:t>
      </w:r>
      <w:r w:rsidRPr="003942AD">
        <w:rPr>
          <w:sz w:val="24"/>
          <w:szCs w:val="24"/>
          <w:lang w:val="en-US"/>
        </w:rPr>
        <w:t xml:space="preserve">SEE/KIRCHHOF (eds.), </w:t>
      </w:r>
      <w:r w:rsidRPr="003942AD">
        <w:rPr>
          <w:sz w:val="24"/>
          <w:szCs w:val="24"/>
          <w:lang w:val="de-DE"/>
        </w:rPr>
        <w:t>“Handbuch des Staatsrechts der Bundesrepublik Deutschland”, XI, cit., pp. 275 ss.</w:t>
      </w:r>
    </w:p>
  </w:footnote>
  <w:footnote w:id="8">
    <w:p w:rsidR="008E1C78" w:rsidRPr="007038B9" w:rsidRDefault="008E1C78" w:rsidP="0026733D">
      <w:pPr>
        <w:spacing w:line="360" w:lineRule="auto"/>
        <w:ind w:firstLine="567"/>
        <w:jc w:val="both"/>
      </w:pPr>
      <w:r w:rsidRPr="007038B9">
        <w:rPr>
          <w:rStyle w:val="Refdenotaderodap"/>
          <w:rFonts w:eastAsiaTheme="majorEastAsia"/>
          <w:sz w:val="24"/>
        </w:rPr>
        <w:footnoteRef/>
      </w:r>
      <w:r w:rsidR="00BA0152">
        <w:rPr>
          <w:rFonts w:eastAsiaTheme="majorEastAsia"/>
        </w:rPr>
        <w:t xml:space="preserve"> Para maior desenvolvimento</w:t>
      </w:r>
      <w:r w:rsidR="00BC6DE8" w:rsidRPr="007038B9">
        <w:rPr>
          <w:rFonts w:eastAsiaTheme="majorEastAsia"/>
        </w:rPr>
        <w:t xml:space="preserve">, </w:t>
      </w:r>
      <w:r w:rsidRPr="007038B9">
        <w:rPr>
          <w:rFonts w:eastAsiaTheme="majorEastAsia"/>
        </w:rPr>
        <w:t xml:space="preserve">MARTTI </w:t>
      </w:r>
      <w:r w:rsidRPr="007038B9">
        <w:rPr>
          <w:lang w:val="en-GB"/>
        </w:rPr>
        <w:t xml:space="preserve">KOSKENNIEMI, </w:t>
      </w:r>
      <w:r w:rsidRPr="007038B9">
        <w:rPr>
          <w:i/>
          <w:lang w:val="en-GB"/>
        </w:rPr>
        <w:t>From Apology to Utopia. The Structure of International Legal Argument</w:t>
      </w:r>
      <w:r w:rsidRPr="007038B9">
        <w:rPr>
          <w:lang w:val="en-GB"/>
        </w:rPr>
        <w:t>, Cambridge: Cambridge Uni</w:t>
      </w:r>
      <w:r w:rsidR="00BA0152">
        <w:rPr>
          <w:lang w:val="en-GB"/>
        </w:rPr>
        <w:t>-</w:t>
      </w:r>
      <w:r w:rsidRPr="007038B9">
        <w:rPr>
          <w:lang w:val="en-GB"/>
        </w:rPr>
        <w:t>versity Press, 2005, reed., pp.</w:t>
      </w:r>
      <w:r w:rsidR="00C22221">
        <w:rPr>
          <w:lang w:val="en-GB"/>
        </w:rPr>
        <w:t xml:space="preserve"> 322 ss. </w:t>
      </w:r>
      <w:r w:rsidR="007038B9" w:rsidRPr="007038B9">
        <w:rPr>
          <w:lang w:val="en-GB"/>
        </w:rPr>
        <w:t>Por ú</w:t>
      </w:r>
      <w:r w:rsidRPr="007038B9">
        <w:rPr>
          <w:lang w:val="en-GB"/>
        </w:rPr>
        <w:t>ltimo, GEORG SCHWARZENBERG</w:t>
      </w:r>
      <w:r w:rsidR="007038B9" w:rsidRPr="007038B9">
        <w:rPr>
          <w:lang w:val="en-GB"/>
        </w:rPr>
        <w:t>ER</w:t>
      </w:r>
      <w:r w:rsidRPr="007038B9">
        <w:rPr>
          <w:lang w:val="en-GB"/>
        </w:rPr>
        <w:t>,</w:t>
      </w:r>
      <w:r w:rsidR="007038B9" w:rsidRPr="007038B9">
        <w:rPr>
          <w:lang w:val="de-DE"/>
        </w:rPr>
        <w:t xml:space="preserve"> </w:t>
      </w:r>
      <w:r w:rsidR="007038B9" w:rsidRPr="007038B9">
        <w:rPr>
          <w:i/>
          <w:lang w:val="de-DE"/>
        </w:rPr>
        <w:t>The Problem of Internationa</w:t>
      </w:r>
      <w:r w:rsidR="00BA0152">
        <w:rPr>
          <w:i/>
          <w:lang w:val="de-DE"/>
        </w:rPr>
        <w:t>l Constitutional Law in Interna</w:t>
      </w:r>
      <w:r w:rsidR="007038B9" w:rsidRPr="007038B9">
        <w:rPr>
          <w:i/>
          <w:lang w:val="de-DE"/>
        </w:rPr>
        <w:t>tional Judicial Pers</w:t>
      </w:r>
      <w:r w:rsidR="00BA0152">
        <w:rPr>
          <w:i/>
          <w:lang w:val="de-DE"/>
        </w:rPr>
        <w:t>-</w:t>
      </w:r>
      <w:r w:rsidR="007038B9" w:rsidRPr="007038B9">
        <w:rPr>
          <w:i/>
          <w:lang w:val="de-DE"/>
        </w:rPr>
        <w:t>pective</w:t>
      </w:r>
      <w:r w:rsidR="007038B9" w:rsidRPr="007038B9">
        <w:rPr>
          <w:lang w:val="de-DE"/>
        </w:rPr>
        <w:t>, in: “Rechts im Dienst des Friedens. Festschrift für Eberhard Menzel”, Ber</w:t>
      </w:r>
      <w:r w:rsidR="00BA0152">
        <w:rPr>
          <w:lang w:val="de-DE"/>
        </w:rPr>
        <w:t>-</w:t>
      </w:r>
      <w:r w:rsidR="007038B9" w:rsidRPr="007038B9">
        <w:rPr>
          <w:lang w:val="de-DE"/>
        </w:rPr>
        <w:t>lim, 1975, pp. 241 ss.</w:t>
      </w:r>
      <w:r w:rsidR="00C22221">
        <w:rPr>
          <w:lang w:val="de-DE"/>
        </w:rPr>
        <w:t>, 249</w:t>
      </w:r>
      <w:r w:rsidR="007038B9" w:rsidRPr="007038B9">
        <w:rPr>
          <w:lang w:val="de-DE"/>
        </w:rPr>
        <w:t xml:space="preserve">, e </w:t>
      </w:r>
      <w:r w:rsidR="007038B9" w:rsidRPr="007038B9">
        <w:rPr>
          <w:i/>
          <w:lang w:val="en-GB"/>
        </w:rPr>
        <w:t>A</w:t>
      </w:r>
      <w:r w:rsidR="007038B9" w:rsidRPr="007038B9">
        <w:rPr>
          <w:lang w:val="en-GB"/>
        </w:rPr>
        <w:t xml:space="preserve"> </w:t>
      </w:r>
      <w:r w:rsidR="007038B9" w:rsidRPr="007038B9">
        <w:rPr>
          <w:i/>
          <w:lang w:val="en-GB"/>
        </w:rPr>
        <w:t>Manual of International Law</w:t>
      </w:r>
      <w:r w:rsidR="00BA0152">
        <w:rPr>
          <w:lang w:val="en-GB"/>
        </w:rPr>
        <w:t>, 5ª ed., Londres</w:t>
      </w:r>
      <w:r w:rsidR="007038B9" w:rsidRPr="007038B9">
        <w:rPr>
          <w:lang w:val="en-GB"/>
        </w:rPr>
        <w:t>, 1967, pp.</w:t>
      </w:r>
      <w:r w:rsidR="007038B9" w:rsidRPr="007038B9">
        <w:t xml:space="preserve"> </w:t>
      </w:r>
      <w:r w:rsidR="00C22221">
        <w:t>30, 108 e 152.</w:t>
      </w:r>
    </w:p>
  </w:footnote>
  <w:footnote w:id="9">
    <w:p w:rsidR="00BA0152" w:rsidRPr="00473C44" w:rsidRDefault="00BA0152" w:rsidP="00BA0152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 w:rsidR="00996370">
        <w:rPr>
          <w:rFonts w:eastAsiaTheme="majorEastAsia"/>
        </w:rPr>
        <w:t>, pp. 33-34</w:t>
      </w:r>
      <w:r w:rsidRPr="00473C44">
        <w:rPr>
          <w:lang w:val="de-DE"/>
        </w:rPr>
        <w:t>.</w:t>
      </w:r>
      <w:r w:rsidRPr="00473C44">
        <w:rPr>
          <w:lang w:val="en-GB"/>
        </w:rPr>
        <w:t xml:space="preserve"> </w:t>
      </w:r>
    </w:p>
  </w:footnote>
  <w:footnote w:id="10">
    <w:p w:rsidR="008E1C78" w:rsidRPr="00E11ECE" w:rsidRDefault="008E1C78" w:rsidP="00DC5090">
      <w:pPr>
        <w:widowControl w:val="0"/>
        <w:spacing w:line="360" w:lineRule="auto"/>
        <w:ind w:firstLine="567"/>
        <w:jc w:val="both"/>
      </w:pPr>
      <w:r w:rsidRPr="00E11ECE">
        <w:rPr>
          <w:rStyle w:val="Refdenotaderodap"/>
          <w:rFonts w:eastAsiaTheme="majorEastAsia"/>
          <w:sz w:val="24"/>
        </w:rPr>
        <w:footnoteRef/>
      </w:r>
      <w:r w:rsidRPr="00E11ECE">
        <w:rPr>
          <w:rFonts w:eastAsiaTheme="majorEastAsia"/>
        </w:rPr>
        <w:t xml:space="preserve"> </w:t>
      </w:r>
      <w:r>
        <w:rPr>
          <w:rFonts w:eastAsiaTheme="majorEastAsia"/>
        </w:rPr>
        <w:t xml:space="preserve">THOMAS HOBBES, </w:t>
      </w:r>
      <w:r w:rsidR="00E878FF" w:rsidRPr="00CB1589">
        <w:rPr>
          <w:i/>
        </w:rPr>
        <w:t>Leviathan</w:t>
      </w:r>
      <w:r w:rsidR="00E878FF" w:rsidRPr="00CB1589">
        <w:t xml:space="preserve"> </w:t>
      </w:r>
      <w:r w:rsidR="00E878FF" w:rsidRPr="00CB1589">
        <w:rPr>
          <w:i/>
        </w:rPr>
        <w:t xml:space="preserve">or The Matter, Form and Power of a Common Wealth Ecclesiasticall and Civil </w:t>
      </w:r>
      <w:r w:rsidR="00E878FF" w:rsidRPr="00CB1589">
        <w:t>[1651] ed., de K. R. Minogue, Londres, 1976, I</w:t>
      </w:r>
      <w:r w:rsidR="00E878FF">
        <w:t>I</w:t>
      </w:r>
      <w:r w:rsidR="00E878FF" w:rsidRPr="00CB1589">
        <w:t xml:space="preserve">, </w:t>
      </w:r>
      <w:r w:rsidR="00E878FF">
        <w:t>26</w:t>
      </w:r>
      <w:r>
        <w:rPr>
          <w:lang w:val="en-GB"/>
        </w:rPr>
        <w:t xml:space="preserve">. </w:t>
      </w:r>
    </w:p>
  </w:footnote>
  <w:footnote w:id="11">
    <w:p w:rsidR="008E1C78" w:rsidRPr="00473C44" w:rsidRDefault="008E1C78" w:rsidP="00473C44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 w:rsidR="00BC6DE8">
        <w:rPr>
          <w:rFonts w:eastAsiaTheme="majorEastAsia"/>
        </w:rPr>
        <w:t xml:space="preserve">Utilizando a terminologia de </w:t>
      </w:r>
      <w:r w:rsidRPr="00473C44">
        <w:rPr>
          <w:rFonts w:eastAsiaTheme="majorEastAsia"/>
        </w:rPr>
        <w:t xml:space="preserve">E.-W. </w:t>
      </w:r>
      <w:r w:rsidRPr="00473C44">
        <w:rPr>
          <w:lang w:val="de-DE"/>
        </w:rPr>
        <w:t xml:space="preserve">BÖCKENFÖRDE, </w:t>
      </w:r>
      <w:r w:rsidRPr="00473C44">
        <w:rPr>
          <w:i/>
          <w:lang w:val="de-DE"/>
        </w:rPr>
        <w:t>Grundrechte als Grundstatznormen. Zur gegenwärtige Lage der Grundrechtsdogmatik</w:t>
      </w:r>
      <w:r w:rsidRPr="00473C44">
        <w:rPr>
          <w:lang w:val="de-DE"/>
        </w:rPr>
        <w:t>, in: E.-W.</w:t>
      </w:r>
      <w:r>
        <w:rPr>
          <w:lang w:val="de-DE"/>
        </w:rPr>
        <w:t xml:space="preserve"> BÖCKENFÖRDE (ed.), “Staat, Ver</w:t>
      </w:r>
      <w:r w:rsidRPr="00473C44">
        <w:rPr>
          <w:lang w:val="de-DE"/>
        </w:rPr>
        <w:t>fassung, Demokratie. Studien zur Verfassungs</w:t>
      </w:r>
      <w:r w:rsidR="00BC6DE8">
        <w:rPr>
          <w:lang w:val="de-DE"/>
        </w:rPr>
        <w:t>-</w:t>
      </w:r>
      <w:r w:rsidRPr="00473C44">
        <w:rPr>
          <w:lang w:val="de-DE"/>
        </w:rPr>
        <w:t>theorie und zum Verfassungsrecht”, 2ª ed., Francoforte sobre o Meno, 1992, pp. 159 ss.</w:t>
      </w:r>
      <w:r w:rsidR="008A0F05">
        <w:rPr>
          <w:lang w:val="de-DE"/>
        </w:rPr>
        <w:t>,</w:t>
      </w:r>
      <w:r w:rsidRPr="00473C44">
        <w:rPr>
          <w:lang w:val="en-GB"/>
        </w:rPr>
        <w:t xml:space="preserve"> </w:t>
      </w:r>
      <w:r w:rsidR="004C054E">
        <w:rPr>
          <w:lang w:val="en-GB"/>
        </w:rPr>
        <w:t>190.</w:t>
      </w:r>
    </w:p>
  </w:footnote>
  <w:footnote w:id="12">
    <w:p w:rsidR="00BC6DE8" w:rsidRPr="00473C44" w:rsidRDefault="00BC6DE8" w:rsidP="00BC6DE8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>, p. 68</w:t>
      </w:r>
      <w:r w:rsidRPr="00473C44">
        <w:rPr>
          <w:lang w:val="de-DE"/>
        </w:rPr>
        <w:t>.</w:t>
      </w:r>
      <w:r w:rsidRPr="00473C44">
        <w:rPr>
          <w:lang w:val="en-GB"/>
        </w:rPr>
        <w:t xml:space="preserve"> </w:t>
      </w:r>
    </w:p>
  </w:footnote>
  <w:footnote w:id="13">
    <w:p w:rsidR="00BC6DE8" w:rsidRPr="00473C44" w:rsidRDefault="00BC6DE8" w:rsidP="00BC6DE8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>, p. 69</w:t>
      </w:r>
      <w:r w:rsidRPr="00473C44">
        <w:rPr>
          <w:lang w:val="de-DE"/>
        </w:rPr>
        <w:t>.</w:t>
      </w:r>
      <w:r w:rsidRPr="00473C44">
        <w:rPr>
          <w:lang w:val="en-GB"/>
        </w:rPr>
        <w:t xml:space="preserve"> </w:t>
      </w:r>
    </w:p>
  </w:footnote>
  <w:footnote w:id="14">
    <w:p w:rsidR="00BC6DE8" w:rsidRPr="00473C44" w:rsidRDefault="00BC6DE8" w:rsidP="00BC6DE8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>, p. 70</w:t>
      </w:r>
      <w:r w:rsidRPr="00473C44">
        <w:rPr>
          <w:lang w:val="de-DE"/>
        </w:rPr>
        <w:t>.</w:t>
      </w:r>
      <w:r w:rsidRPr="00473C44">
        <w:rPr>
          <w:lang w:val="en-GB"/>
        </w:rPr>
        <w:t xml:space="preserve"> </w:t>
      </w:r>
    </w:p>
  </w:footnote>
  <w:footnote w:id="15">
    <w:p w:rsidR="00635FC5" w:rsidRPr="00473C44" w:rsidRDefault="00635FC5" w:rsidP="00635FC5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>, p. 71</w:t>
      </w:r>
      <w:r w:rsidRPr="00473C44">
        <w:rPr>
          <w:lang w:val="de-DE"/>
        </w:rPr>
        <w:t>.</w:t>
      </w:r>
      <w:r w:rsidRPr="00473C44">
        <w:rPr>
          <w:lang w:val="en-GB"/>
        </w:rPr>
        <w:t xml:space="preserve"> </w:t>
      </w:r>
    </w:p>
  </w:footnote>
  <w:footnote w:id="16">
    <w:p w:rsidR="00635FC5" w:rsidRPr="00473C44" w:rsidRDefault="00635FC5" w:rsidP="00635FC5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635FC5">
        <w:rPr>
          <w:rFonts w:eastAsiaTheme="majorEastAsia"/>
          <w:i/>
        </w:rPr>
        <w:t>Dissertação</w:t>
      </w:r>
      <w:r>
        <w:rPr>
          <w:rFonts w:eastAsiaTheme="majorEastAsia"/>
        </w:rPr>
        <w:t>, pp. 68 ss.</w:t>
      </w:r>
    </w:p>
  </w:footnote>
  <w:footnote w:id="17">
    <w:p w:rsidR="008E1C78" w:rsidRPr="00C22221" w:rsidRDefault="008E1C78" w:rsidP="008E1C78">
      <w:pPr>
        <w:pStyle w:val="PargrafodaLista"/>
        <w:spacing w:line="360" w:lineRule="auto"/>
        <w:ind w:left="0" w:firstLine="567"/>
        <w:jc w:val="both"/>
      </w:pPr>
      <w:r w:rsidRPr="00C22221">
        <w:rPr>
          <w:rStyle w:val="Refdenotaderodap"/>
          <w:rFonts w:eastAsiaTheme="majorEastAsia"/>
          <w:sz w:val="24"/>
        </w:rPr>
        <w:footnoteRef/>
      </w:r>
      <w:r w:rsidRPr="00C22221">
        <w:rPr>
          <w:rFonts w:eastAsiaTheme="majorEastAsia"/>
        </w:rPr>
        <w:t xml:space="preserve"> ROBERT ALEXY, </w:t>
      </w:r>
      <w:r w:rsidR="00C22221" w:rsidRPr="00C22221">
        <w:rPr>
          <w:i/>
          <w:lang w:val="es-ES"/>
        </w:rPr>
        <w:t xml:space="preserve">Rechtssystem und praktische Vernunft, </w:t>
      </w:r>
      <w:r w:rsidR="00C22221" w:rsidRPr="00C22221">
        <w:rPr>
          <w:lang w:val="es-ES"/>
        </w:rPr>
        <w:t>in: 18 “Rechts</w:t>
      </w:r>
      <w:r w:rsidR="00C22221">
        <w:rPr>
          <w:lang w:val="es-ES"/>
        </w:rPr>
        <w:t>-</w:t>
      </w:r>
      <w:r w:rsidR="00C22221" w:rsidRPr="00C22221">
        <w:rPr>
          <w:lang w:val="es-ES"/>
        </w:rPr>
        <w:t>theorie” (1987), pp. 405 ss., reproduzido em ROBERT ALEXY, “Recht, Vernunft, Diskurs”, Francoforte sobre o Meno, 1995, pp. 213 ss</w:t>
      </w:r>
      <w:r w:rsidR="00C22221">
        <w:rPr>
          <w:lang w:val="es-ES"/>
        </w:rPr>
        <w:t>., e</w:t>
      </w:r>
      <w:r w:rsidR="00C22221" w:rsidRPr="00C22221">
        <w:rPr>
          <w:i/>
        </w:rPr>
        <w:t xml:space="preserve"> </w:t>
      </w:r>
      <w:r w:rsidRPr="00C22221">
        <w:rPr>
          <w:i/>
        </w:rPr>
        <w:t>Theorie der Grundrechte</w:t>
      </w:r>
      <w:r w:rsidRPr="00C22221">
        <w:t xml:space="preserve">, Francoforte sobre o Meno, 1986, pp. </w:t>
      </w:r>
      <w:r w:rsidR="00C22221">
        <w:t xml:space="preserve">104 ss. </w:t>
      </w:r>
    </w:p>
  </w:footnote>
  <w:footnote w:id="18">
    <w:p w:rsidR="00635FC5" w:rsidRPr="00473C44" w:rsidRDefault="00635FC5" w:rsidP="00DB5179">
      <w:pPr>
        <w:widowControl w:val="0"/>
        <w:spacing w:line="360" w:lineRule="auto"/>
        <w:ind w:firstLine="567"/>
        <w:jc w:val="both"/>
      </w:pPr>
      <w:r w:rsidRPr="00E47CBA">
        <w:rPr>
          <w:rStyle w:val="Refdenotaderodap"/>
          <w:rFonts w:eastAsiaTheme="majorEastAsia"/>
          <w:sz w:val="24"/>
        </w:rPr>
        <w:footnoteRef/>
      </w:r>
      <w:r w:rsidRPr="00E47CBA">
        <w:rPr>
          <w:rFonts w:eastAsiaTheme="majorEastAsia"/>
        </w:rPr>
        <w:t xml:space="preserve"> PAUL LABAND, </w:t>
      </w:r>
      <w:r w:rsidR="00E47CBA" w:rsidRPr="00E47CBA">
        <w:rPr>
          <w:i/>
          <w:color w:val="333333"/>
        </w:rPr>
        <w:t>Das Budgetrecht nach den Bestimmungen der preußis-chen Verfassungsurkunde</w:t>
      </w:r>
      <w:r w:rsidR="00E878FF">
        <w:rPr>
          <w:color w:val="333333"/>
        </w:rPr>
        <w:t xml:space="preserve">, Berlim, 1870. </w:t>
      </w:r>
      <w:r w:rsidR="00DB5179">
        <w:rPr>
          <w:rFonts w:eastAsiaTheme="majorEastAsia"/>
        </w:rPr>
        <w:t xml:space="preserve"> </w:t>
      </w:r>
    </w:p>
  </w:footnote>
  <w:footnote w:id="19">
    <w:p w:rsidR="00BD7374" w:rsidRPr="004C054E" w:rsidRDefault="00BD7374" w:rsidP="00BD7374">
      <w:pPr>
        <w:spacing w:line="360" w:lineRule="auto"/>
        <w:ind w:firstLine="709"/>
        <w:jc w:val="both"/>
      </w:pPr>
      <w:r w:rsidRPr="004C054E">
        <w:rPr>
          <w:rStyle w:val="Refdenotaderodap"/>
          <w:rFonts w:eastAsiaTheme="majorEastAsia"/>
          <w:sz w:val="24"/>
        </w:rPr>
        <w:footnoteRef/>
      </w:r>
      <w:r w:rsidRPr="004C054E">
        <w:rPr>
          <w:rFonts w:eastAsiaTheme="majorEastAsia"/>
        </w:rPr>
        <w:t xml:space="preserve"> PETER </w:t>
      </w:r>
      <w:r w:rsidRPr="004C054E">
        <w:rPr>
          <w:lang w:val="es-ES"/>
        </w:rPr>
        <w:t xml:space="preserve">HÄBERLE, </w:t>
      </w:r>
      <w:r w:rsidRPr="004C054E">
        <w:rPr>
          <w:i/>
          <w:lang w:val="de-DE"/>
        </w:rPr>
        <w:t>Die Wesengehaltsgarantie des Art. 9 Abs 2 Grund</w:t>
      </w:r>
      <w:r w:rsidR="00DB5179" w:rsidRPr="004C054E">
        <w:rPr>
          <w:i/>
          <w:lang w:val="de-DE"/>
        </w:rPr>
        <w:t>-</w:t>
      </w:r>
      <w:r w:rsidRPr="004C054E">
        <w:rPr>
          <w:i/>
          <w:lang w:val="de-DE"/>
        </w:rPr>
        <w:t>gesetz</w:t>
      </w:r>
      <w:r w:rsidRPr="004C054E">
        <w:rPr>
          <w:lang w:val="de-DE"/>
        </w:rPr>
        <w:t xml:space="preserve"> (trad. it. “Le libertà fondamentali nello Stato costituzionale”), Roma, 1993</w:t>
      </w:r>
      <w:r w:rsidRPr="004C054E">
        <w:t xml:space="preserve">, pp. </w:t>
      </w:r>
      <w:r w:rsidR="00E71798" w:rsidRPr="004C054E">
        <w:t xml:space="preserve">190 ss., e </w:t>
      </w:r>
      <w:r w:rsidR="00E71798" w:rsidRPr="004C054E">
        <w:rPr>
          <w:i/>
        </w:rPr>
        <w:t xml:space="preserve">Grundrechte </w:t>
      </w:r>
      <w:r w:rsidR="004C054E" w:rsidRPr="004C054E">
        <w:rPr>
          <w:i/>
        </w:rPr>
        <w:t>i</w:t>
      </w:r>
      <w:r w:rsidR="00E71798" w:rsidRPr="004C054E">
        <w:rPr>
          <w:i/>
        </w:rPr>
        <w:t>m Leistungsstaat</w:t>
      </w:r>
      <w:r w:rsidR="00E71798" w:rsidRPr="004C054E">
        <w:t>, in: 30 “VVDStRL” (1972), pp. 43 ss.</w:t>
      </w:r>
      <w:r w:rsidR="004C054E" w:rsidRPr="004C054E">
        <w:t xml:space="preserve">, reproduzido </w:t>
      </w:r>
      <w:r w:rsidR="004C054E">
        <w:rPr>
          <w:lang w:val="de-DE"/>
        </w:rPr>
        <w:t>em</w:t>
      </w:r>
      <w:r w:rsidR="004C054E" w:rsidRPr="004C054E">
        <w:rPr>
          <w:lang w:val="de-DE"/>
        </w:rPr>
        <w:t xml:space="preserve"> PETER HÄBERLE, “Die Verfassung des Pluralismus. Studien </w:t>
      </w:r>
      <w:r w:rsidR="00C11405">
        <w:rPr>
          <w:lang w:val="de-DE"/>
        </w:rPr>
        <w:t>zur Verfassungstheorie der offe</w:t>
      </w:r>
      <w:r w:rsidR="004C054E" w:rsidRPr="004C054E">
        <w:rPr>
          <w:lang w:val="de-DE"/>
        </w:rPr>
        <w:t>nen Gesellschaft”, Königste</w:t>
      </w:r>
      <w:r w:rsidR="004C054E">
        <w:rPr>
          <w:lang w:val="de-DE"/>
        </w:rPr>
        <w:t>in/ Ts.: Athenäum, 1980, pp. 182</w:t>
      </w:r>
      <w:r w:rsidR="004C054E" w:rsidRPr="004C054E">
        <w:rPr>
          <w:lang w:val="de-DE"/>
        </w:rPr>
        <w:t xml:space="preserve"> ss</w:t>
      </w:r>
      <w:r w:rsidR="004C054E">
        <w:rPr>
          <w:lang w:val="de-DE"/>
        </w:rPr>
        <w:t>.</w:t>
      </w:r>
    </w:p>
  </w:footnote>
  <w:footnote w:id="20">
    <w:p w:rsidR="00BD7374" w:rsidRPr="00C22221" w:rsidRDefault="00BD7374" w:rsidP="00B53BA8">
      <w:pPr>
        <w:pStyle w:val="Cabealho2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4C054E">
        <w:rPr>
          <w:rStyle w:val="Refdenotaderodap"/>
          <w:rFonts w:eastAsiaTheme="majorEastAsia"/>
          <w:b w:val="0"/>
          <w:sz w:val="24"/>
          <w:szCs w:val="24"/>
        </w:rPr>
        <w:footnoteRef/>
      </w:r>
      <w:r w:rsidRPr="004C054E">
        <w:rPr>
          <w:rFonts w:eastAsiaTheme="majorEastAsia"/>
          <w:b w:val="0"/>
          <w:sz w:val="24"/>
          <w:szCs w:val="24"/>
        </w:rPr>
        <w:t xml:space="preserve"> Na terminologia de J. J.</w:t>
      </w:r>
      <w:r w:rsidRPr="00E878FF">
        <w:rPr>
          <w:rFonts w:eastAsiaTheme="majorEastAsia"/>
          <w:b w:val="0"/>
          <w:sz w:val="24"/>
          <w:szCs w:val="24"/>
        </w:rPr>
        <w:t xml:space="preserve"> GOMES CANOTILHO, </w:t>
      </w:r>
      <w:r w:rsidR="00B53BA8" w:rsidRPr="00E878FF">
        <w:rPr>
          <w:b w:val="0"/>
          <w:i/>
          <w:sz w:val="24"/>
          <w:szCs w:val="24"/>
        </w:rPr>
        <w:t>Direito Constitucional e Teoria da Constituição</w:t>
      </w:r>
      <w:r w:rsidR="00B53BA8" w:rsidRPr="00E878FF">
        <w:rPr>
          <w:b w:val="0"/>
          <w:sz w:val="24"/>
          <w:szCs w:val="24"/>
        </w:rPr>
        <w:t>, 7ª ed., Coimbra, 2003, reimp.</w:t>
      </w:r>
      <w:r w:rsidR="007C27C3" w:rsidRPr="00E878FF">
        <w:rPr>
          <w:b w:val="0"/>
          <w:sz w:val="24"/>
          <w:szCs w:val="24"/>
        </w:rPr>
        <w:t xml:space="preserve">, </w:t>
      </w:r>
      <w:r w:rsidR="00B53BA8" w:rsidRPr="00E878FF">
        <w:rPr>
          <w:b w:val="0"/>
          <w:sz w:val="24"/>
          <w:szCs w:val="24"/>
        </w:rPr>
        <w:t>pp.</w:t>
      </w:r>
      <w:r w:rsidR="00B04AFA" w:rsidRPr="00E878FF">
        <w:rPr>
          <w:b w:val="0"/>
          <w:sz w:val="24"/>
          <w:szCs w:val="24"/>
        </w:rPr>
        <w:t xml:space="preserve"> 1171-1173</w:t>
      </w:r>
      <w:r w:rsidR="00E878FF" w:rsidRPr="00E878FF">
        <w:rPr>
          <w:b w:val="0"/>
          <w:sz w:val="24"/>
          <w:szCs w:val="24"/>
        </w:rPr>
        <w:t xml:space="preserve">. Por último, </w:t>
      </w:r>
      <w:r w:rsidR="00E878FF" w:rsidRPr="00E878FF">
        <w:rPr>
          <w:rFonts w:eastAsiaTheme="majorEastAsia"/>
          <w:b w:val="0"/>
          <w:sz w:val="24"/>
          <w:szCs w:val="24"/>
        </w:rPr>
        <w:t>J. J. GOMES CANOTILHO</w:t>
      </w:r>
      <w:r w:rsidR="00E878FF">
        <w:rPr>
          <w:rFonts w:eastAsiaTheme="majorEastAsia"/>
          <w:b w:val="0"/>
          <w:sz w:val="24"/>
          <w:szCs w:val="24"/>
        </w:rPr>
        <w:t>,</w:t>
      </w:r>
      <w:r w:rsidR="00E878FF" w:rsidRPr="00E878FF">
        <w:rPr>
          <w:b w:val="0"/>
          <w:sz w:val="24"/>
          <w:szCs w:val="24"/>
        </w:rPr>
        <w:t xml:space="preserve"> </w:t>
      </w:r>
      <w:r w:rsidR="00B53BA8" w:rsidRPr="00E878FF">
        <w:rPr>
          <w:b w:val="0"/>
          <w:i/>
          <w:sz w:val="24"/>
          <w:szCs w:val="24"/>
        </w:rPr>
        <w:t xml:space="preserve">Constituição dirigente e vinculação do legislador. Contributo para a </w:t>
      </w:r>
      <w:r w:rsidR="000B4BE8" w:rsidRPr="00E878FF">
        <w:rPr>
          <w:b w:val="0"/>
          <w:i/>
          <w:sz w:val="24"/>
          <w:szCs w:val="24"/>
        </w:rPr>
        <w:t>compreensão</w:t>
      </w:r>
      <w:r w:rsidR="000B4BE8">
        <w:rPr>
          <w:b w:val="0"/>
          <w:i/>
          <w:sz w:val="24"/>
          <w:szCs w:val="24"/>
        </w:rPr>
        <w:t xml:space="preserve"> das normas constitu</w:t>
      </w:r>
      <w:r w:rsidR="00B53BA8" w:rsidRPr="00C22221">
        <w:rPr>
          <w:b w:val="0"/>
          <w:i/>
          <w:sz w:val="24"/>
          <w:szCs w:val="24"/>
        </w:rPr>
        <w:t>cionais programáticas</w:t>
      </w:r>
      <w:r w:rsidR="00C11405">
        <w:rPr>
          <w:b w:val="0"/>
          <w:sz w:val="24"/>
          <w:szCs w:val="24"/>
        </w:rPr>
        <w:t xml:space="preserve">, Coim-bra, 1982. </w:t>
      </w:r>
    </w:p>
  </w:footnote>
  <w:footnote w:id="21">
    <w:p w:rsidR="00E878FF" w:rsidRPr="00C22221" w:rsidRDefault="00E878FF" w:rsidP="00E878FF">
      <w:pPr>
        <w:spacing w:line="360" w:lineRule="auto"/>
        <w:ind w:firstLine="709"/>
        <w:jc w:val="both"/>
      </w:pPr>
      <w:r w:rsidRPr="00C22221">
        <w:rPr>
          <w:rStyle w:val="Refdenotaderodap"/>
          <w:rFonts w:eastAsiaTheme="majorEastAsia"/>
          <w:sz w:val="24"/>
        </w:rPr>
        <w:footnoteRef/>
      </w:r>
      <w:r w:rsidRPr="00C22221">
        <w:rPr>
          <w:rFonts w:eastAsiaTheme="majorEastAsia"/>
        </w:rPr>
        <w:t xml:space="preserve"> Na expressão de CARL SCHMITT, </w:t>
      </w:r>
      <w:r w:rsidRPr="00C22221">
        <w:rPr>
          <w:rFonts w:eastAsiaTheme="majorEastAsia"/>
          <w:i/>
        </w:rPr>
        <w:t>Verfassungslehre</w:t>
      </w:r>
      <w:r w:rsidRPr="00C22221">
        <w:rPr>
          <w:rFonts w:eastAsiaTheme="majorEastAsia"/>
        </w:rPr>
        <w:t>, Berlim, 1965, pp. 20 ss</w:t>
      </w:r>
      <w:r w:rsidRPr="00C22221">
        <w:t xml:space="preserve">. </w:t>
      </w:r>
    </w:p>
  </w:footnote>
  <w:footnote w:id="22">
    <w:p w:rsidR="007C27C3" w:rsidRPr="00473C44" w:rsidRDefault="007C27C3" w:rsidP="007C27C3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 xml:space="preserve">, pp. </w:t>
      </w:r>
      <w:r w:rsidR="003F68AF">
        <w:rPr>
          <w:rFonts w:eastAsiaTheme="majorEastAsia"/>
        </w:rPr>
        <w:t>232</w:t>
      </w:r>
      <w:r>
        <w:rPr>
          <w:rFonts w:eastAsiaTheme="majorEastAsia"/>
        </w:rPr>
        <w:t xml:space="preserve"> ss. </w:t>
      </w:r>
    </w:p>
  </w:footnote>
  <w:footnote w:id="23">
    <w:p w:rsidR="003F68AF" w:rsidRPr="00473C44" w:rsidRDefault="003F68AF" w:rsidP="003F68AF">
      <w:pPr>
        <w:widowControl w:val="0"/>
        <w:spacing w:line="360" w:lineRule="auto"/>
        <w:ind w:firstLine="567"/>
        <w:jc w:val="both"/>
      </w:pPr>
      <w:r w:rsidRPr="00473C44">
        <w:rPr>
          <w:rStyle w:val="Refdenotaderodap"/>
          <w:rFonts w:eastAsiaTheme="majorEastAsia"/>
          <w:sz w:val="24"/>
        </w:rPr>
        <w:footnoteRef/>
      </w:r>
      <w:r w:rsidRPr="00473C44">
        <w:rPr>
          <w:rFonts w:eastAsiaTheme="majorEastAsia"/>
        </w:rPr>
        <w:t xml:space="preserve"> </w:t>
      </w:r>
      <w:r>
        <w:rPr>
          <w:rFonts w:eastAsiaTheme="majorEastAsia"/>
        </w:rPr>
        <w:t xml:space="preserve">Cfr., </w:t>
      </w:r>
      <w:r w:rsidRPr="007C27C3">
        <w:rPr>
          <w:rFonts w:eastAsiaTheme="majorEastAsia"/>
          <w:i/>
        </w:rPr>
        <w:t>Dissertação</w:t>
      </w:r>
      <w:r>
        <w:rPr>
          <w:rFonts w:eastAsiaTheme="majorEastAsia"/>
        </w:rPr>
        <w:t xml:space="preserve">, </w:t>
      </w:r>
      <w:r w:rsidR="005D0E89">
        <w:rPr>
          <w:rFonts w:eastAsiaTheme="majorEastAsia"/>
        </w:rPr>
        <w:t xml:space="preserve">capítulo IV, </w:t>
      </w:r>
      <w:r>
        <w:rPr>
          <w:rFonts w:eastAsiaTheme="majorEastAsia"/>
        </w:rPr>
        <w:t>pp. 203 ss.</w:t>
      </w:r>
    </w:p>
  </w:footnote>
  <w:footnote w:id="24">
    <w:p w:rsidR="008E1C78" w:rsidRPr="008F4F8F" w:rsidRDefault="008E1C78" w:rsidP="006400D7">
      <w:pPr>
        <w:spacing w:line="360" w:lineRule="auto"/>
        <w:ind w:firstLine="567"/>
        <w:jc w:val="both"/>
      </w:pPr>
      <w:r w:rsidRPr="008F4F8F">
        <w:rPr>
          <w:rStyle w:val="Refdenotaderodap"/>
          <w:rFonts w:eastAsiaTheme="majorEastAsia"/>
          <w:sz w:val="24"/>
        </w:rPr>
        <w:footnoteRef/>
      </w:r>
      <w:r w:rsidRPr="008F4F8F">
        <w:rPr>
          <w:lang w:val="it-IT"/>
        </w:rPr>
        <w:t xml:space="preserve"> Cfr., </w:t>
      </w:r>
      <w:r>
        <w:rPr>
          <w:lang w:val="it-IT"/>
        </w:rPr>
        <w:t>artigo 202</w:t>
      </w:r>
      <w:r w:rsidRPr="008F4F8F">
        <w:rPr>
          <w:lang w:val="it-IT"/>
        </w:rPr>
        <w:t>º</w:t>
      </w:r>
      <w:r>
        <w:rPr>
          <w:lang w:val="it-IT"/>
        </w:rPr>
        <w:t>/1</w:t>
      </w:r>
      <w:r w:rsidRPr="008F4F8F">
        <w:rPr>
          <w:lang w:val="it-IT"/>
        </w:rPr>
        <w:t xml:space="preserve"> da CRP. </w:t>
      </w:r>
    </w:p>
  </w:footnote>
  <w:footnote w:id="25">
    <w:p w:rsidR="008E1C78" w:rsidRPr="008F4F8F" w:rsidRDefault="008E1C78" w:rsidP="00DB6F63">
      <w:pPr>
        <w:spacing w:line="360" w:lineRule="auto"/>
        <w:ind w:firstLine="567"/>
        <w:jc w:val="both"/>
      </w:pPr>
      <w:r w:rsidRPr="008F4F8F">
        <w:rPr>
          <w:rStyle w:val="Refdenotaderodap"/>
          <w:rFonts w:eastAsiaTheme="majorEastAsia"/>
          <w:sz w:val="24"/>
        </w:rPr>
        <w:footnoteRef/>
      </w:r>
      <w:r w:rsidRPr="008F4F8F">
        <w:rPr>
          <w:lang w:val="it-IT"/>
        </w:rPr>
        <w:t xml:space="preserve"> CRISTINA QUEIROZ, </w:t>
      </w:r>
      <w:r w:rsidRPr="008F4F8F">
        <w:rPr>
          <w:i/>
        </w:rPr>
        <w:t>Interpretação constitucional</w:t>
      </w:r>
      <w:r>
        <w:rPr>
          <w:i/>
        </w:rPr>
        <w:t xml:space="preserve"> e poder judicial. So</w:t>
      </w:r>
      <w:r w:rsidR="00C11405">
        <w:rPr>
          <w:i/>
        </w:rPr>
        <w:t>-</w:t>
      </w:r>
      <w:r>
        <w:rPr>
          <w:i/>
        </w:rPr>
        <w:t>bre a epis</w:t>
      </w:r>
      <w:r w:rsidRPr="008F4F8F">
        <w:rPr>
          <w:i/>
        </w:rPr>
        <w:t>temologia da construção constitucional</w:t>
      </w:r>
      <w:r>
        <w:t xml:space="preserve">, Coimbra, </w:t>
      </w:r>
      <w:r w:rsidRPr="008F4F8F">
        <w:t>2000</w:t>
      </w:r>
      <w:r>
        <w:t>, pp. 322-323.</w:t>
      </w:r>
    </w:p>
  </w:footnote>
  <w:footnote w:id="26">
    <w:p w:rsidR="008E1C78" w:rsidRPr="00CB1589" w:rsidRDefault="008E1C78" w:rsidP="00587C56">
      <w:pPr>
        <w:spacing w:line="360" w:lineRule="auto"/>
        <w:ind w:firstLine="567"/>
        <w:jc w:val="both"/>
      </w:pPr>
      <w:r w:rsidRPr="00BE35D6">
        <w:rPr>
          <w:rStyle w:val="Refdenotaderodap"/>
          <w:rFonts w:eastAsiaTheme="majorEastAsia"/>
          <w:sz w:val="24"/>
        </w:rPr>
        <w:footnoteRef/>
      </w:r>
      <w:r w:rsidR="00D365D1">
        <w:rPr>
          <w:rStyle w:val="Refdenotaderodap"/>
          <w:rFonts w:eastAsiaTheme="majorEastAsia"/>
          <w:sz w:val="24"/>
        </w:rPr>
        <w:t xml:space="preserve"> </w:t>
      </w:r>
      <w:r w:rsidR="005D0E89">
        <w:rPr>
          <w:rFonts w:eastAsiaTheme="majorEastAsia"/>
        </w:rPr>
        <w:t xml:space="preserve">Segundo a lição de </w:t>
      </w:r>
      <w:r w:rsidRPr="00CB1589">
        <w:t>THOMAS HOBBES</w:t>
      </w:r>
      <w:r w:rsidRPr="00CB1589">
        <w:rPr>
          <w:i/>
        </w:rPr>
        <w:t xml:space="preserve"> Leviathan</w:t>
      </w:r>
      <w:r w:rsidRPr="00CB1589">
        <w:t xml:space="preserve"> </w:t>
      </w:r>
      <w:r w:rsidRPr="00CB1589">
        <w:rPr>
          <w:i/>
        </w:rPr>
        <w:t xml:space="preserve">or The Matter, Form and Power of a Common Wealth Ecclesiasticall and Civil </w:t>
      </w:r>
      <w:r w:rsidRPr="00CB1589">
        <w:t>[1651]</w:t>
      </w:r>
      <w:r w:rsidR="005D0E89">
        <w:t>, cit.</w:t>
      </w:r>
      <w:r w:rsidRPr="00CB1589">
        <w:t xml:space="preserve">, I, </w:t>
      </w:r>
      <w:r w:rsidR="005D0E89">
        <w:t xml:space="preserve">14 e 16, em particular, II, 17. Por último, </w:t>
      </w:r>
      <w:r w:rsidR="00D365D1" w:rsidRPr="00BE35D6">
        <w:t xml:space="preserve">HANS KELSEN, </w:t>
      </w:r>
      <w:r w:rsidR="00D365D1" w:rsidRPr="00BE35D6">
        <w:rPr>
          <w:i/>
        </w:rPr>
        <w:t>Reine Rechtslehre</w:t>
      </w:r>
      <w:r w:rsidR="00D365D1">
        <w:t>,</w:t>
      </w:r>
      <w:r w:rsidR="007E0EAB">
        <w:t xml:space="preserve"> cit., </w:t>
      </w:r>
      <w:r w:rsidR="00D365D1">
        <w:t>pp. 119, 324 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A59"/>
    <w:multiLevelType w:val="hybridMultilevel"/>
    <w:tmpl w:val="96FCCEF2"/>
    <w:lvl w:ilvl="0" w:tplc="0816000F">
      <w:start w:val="4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1842"/>
    <w:multiLevelType w:val="hybridMultilevel"/>
    <w:tmpl w:val="19F095FA"/>
    <w:lvl w:ilvl="0" w:tplc="A344F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415C72"/>
    <w:multiLevelType w:val="hybridMultilevel"/>
    <w:tmpl w:val="E39EA20A"/>
    <w:lvl w:ilvl="0" w:tplc="BDFC0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FC4D50"/>
    <w:multiLevelType w:val="hybridMultilevel"/>
    <w:tmpl w:val="021410B8"/>
    <w:lvl w:ilvl="0" w:tplc="6F92B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07D04"/>
    <w:multiLevelType w:val="hybridMultilevel"/>
    <w:tmpl w:val="A6627C6A"/>
    <w:lvl w:ilvl="0" w:tplc="6052A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215E71"/>
    <w:multiLevelType w:val="hybridMultilevel"/>
    <w:tmpl w:val="D8CEE09A"/>
    <w:lvl w:ilvl="0" w:tplc="7EF041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B13B42"/>
    <w:multiLevelType w:val="hybridMultilevel"/>
    <w:tmpl w:val="38882276"/>
    <w:lvl w:ilvl="0" w:tplc="4AB8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F308C"/>
    <w:multiLevelType w:val="hybridMultilevel"/>
    <w:tmpl w:val="3E00ED54"/>
    <w:lvl w:ilvl="0" w:tplc="C668305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18289D"/>
    <w:multiLevelType w:val="hybridMultilevel"/>
    <w:tmpl w:val="85463100"/>
    <w:lvl w:ilvl="0" w:tplc="1B10A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3B0F49"/>
    <w:multiLevelType w:val="hybridMultilevel"/>
    <w:tmpl w:val="6A8AB84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0E6B0E"/>
    <w:multiLevelType w:val="hybridMultilevel"/>
    <w:tmpl w:val="A6AC887E"/>
    <w:lvl w:ilvl="0" w:tplc="41945B2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892B36"/>
    <w:multiLevelType w:val="hybridMultilevel"/>
    <w:tmpl w:val="5FB0511C"/>
    <w:lvl w:ilvl="0" w:tplc="F67A6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A"/>
    <w:rsid w:val="00020AA1"/>
    <w:rsid w:val="0003582D"/>
    <w:rsid w:val="000428A2"/>
    <w:rsid w:val="00056909"/>
    <w:rsid w:val="00085CED"/>
    <w:rsid w:val="000946B2"/>
    <w:rsid w:val="000B32BA"/>
    <w:rsid w:val="000B4BE8"/>
    <w:rsid w:val="000C42AF"/>
    <w:rsid w:val="000D41FF"/>
    <w:rsid w:val="00112BBF"/>
    <w:rsid w:val="001271AC"/>
    <w:rsid w:val="001702AD"/>
    <w:rsid w:val="001A3237"/>
    <w:rsid w:val="001A65AC"/>
    <w:rsid w:val="001B790C"/>
    <w:rsid w:val="001C5D89"/>
    <w:rsid w:val="001C647A"/>
    <w:rsid w:val="001F0590"/>
    <w:rsid w:val="00214550"/>
    <w:rsid w:val="00244A64"/>
    <w:rsid w:val="00256CA0"/>
    <w:rsid w:val="0026733D"/>
    <w:rsid w:val="00281C49"/>
    <w:rsid w:val="002C344C"/>
    <w:rsid w:val="002C425A"/>
    <w:rsid w:val="002F2B8D"/>
    <w:rsid w:val="0031328C"/>
    <w:rsid w:val="00315599"/>
    <w:rsid w:val="00364F74"/>
    <w:rsid w:val="00372E8C"/>
    <w:rsid w:val="00380FC7"/>
    <w:rsid w:val="003942AD"/>
    <w:rsid w:val="00394F72"/>
    <w:rsid w:val="003A1971"/>
    <w:rsid w:val="003B297A"/>
    <w:rsid w:val="003C0197"/>
    <w:rsid w:val="003D7F73"/>
    <w:rsid w:val="003F68AF"/>
    <w:rsid w:val="003F7D78"/>
    <w:rsid w:val="00400745"/>
    <w:rsid w:val="00421E88"/>
    <w:rsid w:val="0042494A"/>
    <w:rsid w:val="00440BE8"/>
    <w:rsid w:val="00455138"/>
    <w:rsid w:val="004572AF"/>
    <w:rsid w:val="00462536"/>
    <w:rsid w:val="00467C21"/>
    <w:rsid w:val="00473C44"/>
    <w:rsid w:val="004C054E"/>
    <w:rsid w:val="004E11EC"/>
    <w:rsid w:val="004E43EE"/>
    <w:rsid w:val="004F2F7B"/>
    <w:rsid w:val="00502DCA"/>
    <w:rsid w:val="00507D74"/>
    <w:rsid w:val="00527907"/>
    <w:rsid w:val="00587C56"/>
    <w:rsid w:val="00592464"/>
    <w:rsid w:val="00595C32"/>
    <w:rsid w:val="005A5D5C"/>
    <w:rsid w:val="005B1249"/>
    <w:rsid w:val="005B7688"/>
    <w:rsid w:val="005D0E89"/>
    <w:rsid w:val="005E1C82"/>
    <w:rsid w:val="005E239A"/>
    <w:rsid w:val="005E392F"/>
    <w:rsid w:val="005E3FFD"/>
    <w:rsid w:val="005F2A19"/>
    <w:rsid w:val="005F593A"/>
    <w:rsid w:val="0060187F"/>
    <w:rsid w:val="0062335A"/>
    <w:rsid w:val="00624648"/>
    <w:rsid w:val="00625C92"/>
    <w:rsid w:val="00635FC5"/>
    <w:rsid w:val="006400D7"/>
    <w:rsid w:val="00646380"/>
    <w:rsid w:val="0066256C"/>
    <w:rsid w:val="006764F6"/>
    <w:rsid w:val="0068532E"/>
    <w:rsid w:val="006B3FFD"/>
    <w:rsid w:val="006D56C7"/>
    <w:rsid w:val="007038B9"/>
    <w:rsid w:val="007253E9"/>
    <w:rsid w:val="007278E4"/>
    <w:rsid w:val="007308AB"/>
    <w:rsid w:val="00767A1B"/>
    <w:rsid w:val="00795044"/>
    <w:rsid w:val="0079668F"/>
    <w:rsid w:val="007B1798"/>
    <w:rsid w:val="007C1C2B"/>
    <w:rsid w:val="007C27C3"/>
    <w:rsid w:val="007E08A2"/>
    <w:rsid w:val="007E0EAB"/>
    <w:rsid w:val="007E6B2D"/>
    <w:rsid w:val="007F4CF6"/>
    <w:rsid w:val="008165F1"/>
    <w:rsid w:val="00835A5E"/>
    <w:rsid w:val="00883F86"/>
    <w:rsid w:val="008928FC"/>
    <w:rsid w:val="00897203"/>
    <w:rsid w:val="008A0F05"/>
    <w:rsid w:val="008A6147"/>
    <w:rsid w:val="008C5533"/>
    <w:rsid w:val="008D13F5"/>
    <w:rsid w:val="008D7727"/>
    <w:rsid w:val="008E1C78"/>
    <w:rsid w:val="008F438F"/>
    <w:rsid w:val="008F4F8F"/>
    <w:rsid w:val="00910323"/>
    <w:rsid w:val="00914D00"/>
    <w:rsid w:val="00953817"/>
    <w:rsid w:val="009540E5"/>
    <w:rsid w:val="0096017C"/>
    <w:rsid w:val="00965974"/>
    <w:rsid w:val="00996370"/>
    <w:rsid w:val="009971AD"/>
    <w:rsid w:val="009A3240"/>
    <w:rsid w:val="009F539D"/>
    <w:rsid w:val="00A02BD2"/>
    <w:rsid w:val="00A578A3"/>
    <w:rsid w:val="00A72AB6"/>
    <w:rsid w:val="00A83674"/>
    <w:rsid w:val="00A97478"/>
    <w:rsid w:val="00AA6EC6"/>
    <w:rsid w:val="00AC17A4"/>
    <w:rsid w:val="00AD15EC"/>
    <w:rsid w:val="00AE337E"/>
    <w:rsid w:val="00AF19E3"/>
    <w:rsid w:val="00B02B7B"/>
    <w:rsid w:val="00B04AFA"/>
    <w:rsid w:val="00B100EE"/>
    <w:rsid w:val="00B15160"/>
    <w:rsid w:val="00B22398"/>
    <w:rsid w:val="00B32CB3"/>
    <w:rsid w:val="00B53BA8"/>
    <w:rsid w:val="00B80799"/>
    <w:rsid w:val="00B811EA"/>
    <w:rsid w:val="00B82B36"/>
    <w:rsid w:val="00B831AD"/>
    <w:rsid w:val="00BA0152"/>
    <w:rsid w:val="00BB092D"/>
    <w:rsid w:val="00BB5B69"/>
    <w:rsid w:val="00BC2B0D"/>
    <w:rsid w:val="00BC6DE8"/>
    <w:rsid w:val="00BD7374"/>
    <w:rsid w:val="00BE35D6"/>
    <w:rsid w:val="00BE66FF"/>
    <w:rsid w:val="00C02D7F"/>
    <w:rsid w:val="00C11405"/>
    <w:rsid w:val="00C1174A"/>
    <w:rsid w:val="00C22221"/>
    <w:rsid w:val="00C27997"/>
    <w:rsid w:val="00C444DE"/>
    <w:rsid w:val="00C50A0E"/>
    <w:rsid w:val="00C50E16"/>
    <w:rsid w:val="00C64A63"/>
    <w:rsid w:val="00CA29C7"/>
    <w:rsid w:val="00CB06B6"/>
    <w:rsid w:val="00CB106E"/>
    <w:rsid w:val="00CB1589"/>
    <w:rsid w:val="00CD32A1"/>
    <w:rsid w:val="00CF35DF"/>
    <w:rsid w:val="00D10524"/>
    <w:rsid w:val="00D16413"/>
    <w:rsid w:val="00D20D68"/>
    <w:rsid w:val="00D365D1"/>
    <w:rsid w:val="00D378CA"/>
    <w:rsid w:val="00D448F3"/>
    <w:rsid w:val="00D62FE8"/>
    <w:rsid w:val="00D85172"/>
    <w:rsid w:val="00D92438"/>
    <w:rsid w:val="00DA0AD4"/>
    <w:rsid w:val="00DB5179"/>
    <w:rsid w:val="00DB6F63"/>
    <w:rsid w:val="00DC14BB"/>
    <w:rsid w:val="00DC1B87"/>
    <w:rsid w:val="00DC5090"/>
    <w:rsid w:val="00E014B4"/>
    <w:rsid w:val="00E044C1"/>
    <w:rsid w:val="00E11ECE"/>
    <w:rsid w:val="00E37F87"/>
    <w:rsid w:val="00E47CBA"/>
    <w:rsid w:val="00E71798"/>
    <w:rsid w:val="00E878FF"/>
    <w:rsid w:val="00EA3ADC"/>
    <w:rsid w:val="00ED2542"/>
    <w:rsid w:val="00ED7C9C"/>
    <w:rsid w:val="00EE528C"/>
    <w:rsid w:val="00EF3D7C"/>
    <w:rsid w:val="00F0520F"/>
    <w:rsid w:val="00F16338"/>
    <w:rsid w:val="00F60230"/>
    <w:rsid w:val="00F605F6"/>
    <w:rsid w:val="00F62465"/>
    <w:rsid w:val="00F915EA"/>
    <w:rsid w:val="00FB72D0"/>
    <w:rsid w:val="00FC5821"/>
    <w:rsid w:val="00FD4E42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2439-F9B0-408E-B715-735DDA67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BB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B53BA8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qFormat/>
    <w:rsid w:val="00885DBB"/>
    <w:rPr>
      <w:sz w:val="16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885DB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racteresdanotaderodap">
    <w:name w:val="Caracteres da nota de rodapé"/>
    <w:qFormat/>
    <w:rsid w:val="00F915EA"/>
  </w:style>
  <w:style w:type="character" w:customStyle="1" w:styleId="ncoradanotaderodap">
    <w:name w:val="Âncora da nota de rodapé"/>
    <w:rsid w:val="00F915EA"/>
    <w:rPr>
      <w:vertAlign w:val="superscript"/>
    </w:rPr>
  </w:style>
  <w:style w:type="character" w:customStyle="1" w:styleId="ncoradanotafinal">
    <w:name w:val="Âncora da nota final"/>
    <w:rsid w:val="00F915EA"/>
    <w:rPr>
      <w:vertAlign w:val="superscript"/>
    </w:rPr>
  </w:style>
  <w:style w:type="character" w:customStyle="1" w:styleId="Caracteresdanotafinal">
    <w:name w:val="Caracteres da nota final"/>
    <w:qFormat/>
    <w:rsid w:val="00F915EA"/>
  </w:style>
  <w:style w:type="paragraph" w:styleId="Ttulo">
    <w:name w:val="Title"/>
    <w:basedOn w:val="Normal"/>
    <w:next w:val="Corpodotexto"/>
    <w:qFormat/>
    <w:rsid w:val="00F915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rsid w:val="00F915EA"/>
    <w:pPr>
      <w:spacing w:after="140" w:line="288" w:lineRule="auto"/>
    </w:pPr>
  </w:style>
  <w:style w:type="paragraph" w:styleId="Lista">
    <w:name w:val="List"/>
    <w:basedOn w:val="Corpodotexto"/>
    <w:rsid w:val="00F915EA"/>
    <w:rPr>
      <w:rFonts w:cs="Arial"/>
    </w:rPr>
  </w:style>
  <w:style w:type="paragraph" w:styleId="Legenda">
    <w:name w:val="caption"/>
    <w:basedOn w:val="Normal"/>
    <w:rsid w:val="00F915E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915EA"/>
    <w:pPr>
      <w:suppressLineNumbers/>
    </w:pPr>
    <w:rPr>
      <w:rFonts w:cs="Arial"/>
    </w:rPr>
  </w:style>
  <w:style w:type="paragraph" w:styleId="Rodap">
    <w:name w:val="footer"/>
    <w:basedOn w:val="Normal"/>
    <w:link w:val="RodapCarter"/>
    <w:uiPriority w:val="99"/>
    <w:unhideWhenUsed/>
    <w:rsid w:val="00885DBB"/>
    <w:pPr>
      <w:tabs>
        <w:tab w:val="center" w:pos="4252"/>
        <w:tab w:val="right" w:pos="8504"/>
      </w:tabs>
    </w:pPr>
  </w:style>
  <w:style w:type="paragraph" w:customStyle="1" w:styleId="Notaderodap">
    <w:name w:val="Nota de rodapé"/>
    <w:basedOn w:val="Normal"/>
    <w:rsid w:val="00F915EA"/>
  </w:style>
  <w:style w:type="paragraph" w:styleId="PargrafodaLista">
    <w:name w:val="List Paragraph"/>
    <w:basedOn w:val="Normal"/>
    <w:uiPriority w:val="34"/>
    <w:qFormat/>
    <w:rsid w:val="006400D7"/>
    <w:pPr>
      <w:ind w:left="720"/>
      <w:contextualSpacing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qFormat/>
    <w:rsid w:val="00BC2B0D"/>
    <w:rPr>
      <w:rFonts w:ascii="Times New Roman" w:eastAsia="Times New Roman" w:hAnsi="Times New Roman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qFormat/>
    <w:rsid w:val="00BC2B0D"/>
    <w:rPr>
      <w:color w:val="auto"/>
      <w:sz w:val="20"/>
      <w:szCs w:val="20"/>
    </w:rPr>
  </w:style>
  <w:style w:type="character" w:customStyle="1" w:styleId="TextodenotaderodapCarter1">
    <w:name w:val="Texto de nota de rodapé Caráter1"/>
    <w:basedOn w:val="Tipodeletrapredefinidodopargrafo"/>
    <w:uiPriority w:val="99"/>
    <w:semiHidden/>
    <w:rsid w:val="00BC2B0D"/>
    <w:rPr>
      <w:rFonts w:ascii="Times New Roman" w:eastAsia="Times New Roman" w:hAnsi="Times New Roman" w:cs="Times New Roman"/>
      <w:color w:val="00000A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1E8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1E88"/>
    <w:rPr>
      <w:rFonts w:ascii="Segoe UI" w:eastAsia="Times New Roman" w:hAnsi="Segoe UI" w:cs="Segoe UI"/>
      <w:color w:val="00000A"/>
      <w:sz w:val="18"/>
      <w:szCs w:val="1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53BA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Standard">
    <w:name w:val="Standard"/>
    <w:rsid w:val="003942A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FootnoteSymbol">
    <w:name w:val="Footnote Symbol"/>
    <w:rsid w:val="003942AD"/>
    <w:rPr>
      <w:position w:val="0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1252-90BD-4D5D-84F3-C9E1C516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3224</Words>
  <Characters>17411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Dra. Cristina Queiroz</dc:creator>
  <dc:description/>
  <cp:lastModifiedBy>Dra. Maria José Parreira</cp:lastModifiedBy>
  <cp:revision>2</cp:revision>
  <cp:lastPrinted>2017-07-11T17:36:00Z</cp:lastPrinted>
  <dcterms:created xsi:type="dcterms:W3CDTF">2017-07-13T11:12:00Z</dcterms:created>
  <dcterms:modified xsi:type="dcterms:W3CDTF">2017-07-13T11:12:00Z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do Porto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